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3DDD" w14:textId="77777777" w:rsidR="004502EA" w:rsidRPr="009B43D1" w:rsidRDefault="0D3211E3" w:rsidP="004502EA">
      <w:pPr>
        <w:pStyle w:val="Heading2"/>
      </w:pPr>
      <w:bookmarkStart w:id="0" w:name="_Toc364233356"/>
      <w:bookmarkStart w:id="1" w:name="_Toc433697647"/>
      <w:r>
        <w:t>Attachment B – Administrative and Office Areas Closure Checklist: Preparations for Tropical Weather/Hurricanes</w:t>
      </w:r>
      <w:bookmarkEnd w:id="0"/>
      <w:bookmarkEnd w:id="1"/>
    </w:p>
    <w:p w14:paraId="72503283" w14:textId="77777777" w:rsidR="004502EA" w:rsidRPr="006216B7" w:rsidRDefault="0D3211E3" w:rsidP="0D3211E3">
      <w:pPr>
        <w:spacing w:line="240" w:lineRule="auto"/>
        <w:rPr>
          <w:rFonts w:ascii="Arial,Times New Roman" w:eastAsia="Arial,Times New Roman" w:hAnsi="Arial,Times New Roman" w:cs="Arial,Times New Roman"/>
          <w:b/>
          <w:bCs/>
        </w:rPr>
      </w:pPr>
      <w:r>
        <w:t xml:space="preserve">Departments are responsible for taking protective actions in their own office and administrative areas. This checklist is designed to identify suggested tasks and assignment of responsibilities for preparing work areas. Not all items are appropriate for all areas. Departments should add actions specific to their individual work areas if needed. </w:t>
      </w:r>
      <w:r w:rsidRPr="0D3211E3">
        <w:rPr>
          <w:b/>
          <w:bCs/>
        </w:rPr>
        <w:t>The checklist should be completed as part of Appendix B- Tropical Weather Plan.</w:t>
      </w:r>
    </w:p>
    <w:p w14:paraId="187F57B8" w14:textId="77777777" w:rsidR="004502EA" w:rsidRPr="006216B7" w:rsidRDefault="004502EA" w:rsidP="004502EA">
      <w:pPr>
        <w:spacing w:line="240" w:lineRule="auto"/>
        <w:jc w:val="center"/>
        <w:rPr>
          <w:rFonts w:eastAsia="Times New Roman" w:cs="Arial"/>
        </w:rPr>
      </w:pPr>
    </w:p>
    <w:p w14:paraId="450FC134" w14:textId="77777777" w:rsidR="004502EA" w:rsidRPr="006216B7" w:rsidRDefault="0D3211E3" w:rsidP="0D3211E3">
      <w:pPr>
        <w:spacing w:line="240" w:lineRule="auto"/>
        <w:rPr>
          <w:rFonts w:ascii="Arial,Times New Roman" w:eastAsia="Arial,Times New Roman" w:hAnsi="Arial,Times New Roman" w:cs="Arial,Times New Roman"/>
        </w:rPr>
      </w:pPr>
      <w:r>
        <w:t xml:space="preserve">When impacts from tropical weather are possible, consider necessary preparations to protect equipment, records and data. When UF suspends normal operations, prepare to close office and administrative areas and complete the checklist. </w:t>
      </w:r>
      <w:r w:rsidRPr="0D3211E3">
        <w:rPr>
          <w:b/>
          <w:bCs/>
        </w:rPr>
        <w:t>Note, personnel should not stay in work areas, unless involved with essential operations, during a storm if UF has suspended normal operations</w:t>
      </w:r>
      <w:r w:rsidRPr="0D3211E3">
        <w:rPr>
          <w:rFonts w:ascii="Arial,Times New Roman" w:eastAsia="Arial,Times New Roman" w:hAnsi="Arial,Times New Roman" w:cs="Arial,Times New Roman"/>
        </w:rPr>
        <w:t>.</w:t>
      </w:r>
    </w:p>
    <w:p w14:paraId="54738AF4" w14:textId="77777777" w:rsidR="004502EA" w:rsidRPr="006216B7" w:rsidRDefault="004502EA" w:rsidP="004502EA">
      <w:pPr>
        <w:spacing w:line="240" w:lineRule="auto"/>
        <w:rPr>
          <w:rFonts w:eastAsia="Times New Roman" w:cs="Arial"/>
        </w:rPr>
      </w:pPr>
    </w:p>
    <w:p w14:paraId="7F781280" w14:textId="77777777" w:rsidR="004502EA" w:rsidRPr="006216B7" w:rsidRDefault="0D3211E3" w:rsidP="0D3211E3">
      <w:pPr>
        <w:spacing w:line="240" w:lineRule="auto"/>
        <w:rPr>
          <w:rFonts w:ascii="Arial,Times New Roman" w:eastAsia="Arial,Times New Roman" w:hAnsi="Arial,Times New Roman" w:cs="Arial,Times New Roman"/>
        </w:rPr>
      </w:pPr>
      <w:r>
        <w:t>Additional mitigation steps can be taken year-round to reduce impacts from tropical weather and other incidents, including:</w:t>
      </w:r>
    </w:p>
    <w:p w14:paraId="46ABBD8F" w14:textId="77777777" w:rsidR="004502EA" w:rsidRPr="006216B7" w:rsidRDefault="004502EA" w:rsidP="004502EA">
      <w:pPr>
        <w:spacing w:line="240" w:lineRule="auto"/>
        <w:rPr>
          <w:rFonts w:eastAsia="Times New Roman" w:cs="Arial"/>
        </w:rPr>
      </w:pPr>
    </w:p>
    <w:p w14:paraId="135C3256" w14:textId="77777777" w:rsidR="004502EA" w:rsidRPr="006216B7" w:rsidRDefault="0D3211E3" w:rsidP="0D3211E3">
      <w:pPr>
        <w:numPr>
          <w:ilvl w:val="0"/>
          <w:numId w:val="4"/>
        </w:numPr>
        <w:spacing w:line="240" w:lineRule="auto"/>
        <w:rPr>
          <w:rFonts w:ascii="Arial,Times New Roman" w:eastAsia="Arial,Times New Roman" w:hAnsi="Arial,Times New Roman" w:cs="Arial,Times New Roman"/>
        </w:rPr>
      </w:pPr>
      <w:r>
        <w:t>Plan in advance how to ensure the protection of files, records and valuable equipment.</w:t>
      </w:r>
    </w:p>
    <w:p w14:paraId="1530D061" w14:textId="77777777" w:rsidR="004502EA" w:rsidRPr="006216B7" w:rsidRDefault="0D3211E3" w:rsidP="0D3211E3">
      <w:pPr>
        <w:numPr>
          <w:ilvl w:val="0"/>
          <w:numId w:val="4"/>
        </w:numPr>
        <w:spacing w:line="240" w:lineRule="auto"/>
        <w:rPr>
          <w:rFonts w:ascii="Arial,Times New Roman" w:eastAsia="Arial,Times New Roman" w:hAnsi="Arial,Times New Roman" w:cs="Arial,Times New Roman"/>
        </w:rPr>
      </w:pPr>
      <w:r>
        <w:t>Obtain and store needed supplies, such as plastic sheeting to cover equipment and files.</w:t>
      </w:r>
    </w:p>
    <w:p w14:paraId="44E4C232" w14:textId="77777777" w:rsidR="004502EA" w:rsidRPr="006216B7" w:rsidRDefault="0D3211E3" w:rsidP="0D3211E3">
      <w:pPr>
        <w:numPr>
          <w:ilvl w:val="0"/>
          <w:numId w:val="4"/>
        </w:numPr>
        <w:spacing w:line="240" w:lineRule="auto"/>
        <w:rPr>
          <w:rFonts w:ascii="Arial,Times New Roman" w:eastAsia="Arial,Times New Roman" w:hAnsi="Arial,Times New Roman" w:cs="Arial,Times New Roman"/>
        </w:rPr>
      </w:pPr>
      <w:r>
        <w:t>Discuss preparatory actions with personnel and assign responsibilities.</w:t>
      </w:r>
    </w:p>
    <w:p w14:paraId="62083FE2" w14:textId="77777777" w:rsidR="004502EA" w:rsidRPr="006216B7" w:rsidRDefault="0D3211E3" w:rsidP="0D3211E3">
      <w:pPr>
        <w:numPr>
          <w:ilvl w:val="0"/>
          <w:numId w:val="4"/>
        </w:numPr>
        <w:spacing w:line="240" w:lineRule="auto"/>
        <w:rPr>
          <w:rFonts w:ascii="Arial,Times New Roman" w:eastAsia="Arial,Times New Roman" w:hAnsi="Arial,Times New Roman" w:cs="Arial,Times New Roman"/>
        </w:rPr>
      </w:pPr>
      <w:r>
        <w:t>Update and distribute emergency and contact information to personnel.</w:t>
      </w:r>
    </w:p>
    <w:p w14:paraId="06BBA33E" w14:textId="77777777" w:rsidR="004502EA" w:rsidRPr="006216B7" w:rsidRDefault="004502EA" w:rsidP="004502EA">
      <w:pPr>
        <w:rPr>
          <w:b/>
          <w:sz w:val="28"/>
          <w:szCs w:val="28"/>
        </w:rPr>
      </w:pPr>
      <w:r w:rsidRPr="006216B7">
        <w:rPr>
          <w:b/>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317"/>
        <w:gridCol w:w="1433"/>
        <w:gridCol w:w="1599"/>
        <w:gridCol w:w="1606"/>
        <w:gridCol w:w="2197"/>
      </w:tblGrid>
      <w:tr w:rsidR="004502EA" w:rsidRPr="006216B7" w14:paraId="698B42B9" w14:textId="77777777" w:rsidTr="0D3211E3">
        <w:trPr>
          <w:trHeight w:val="323"/>
          <w:tblHeader/>
        </w:trPr>
        <w:tc>
          <w:tcPr>
            <w:tcW w:w="296" w:type="pct"/>
            <w:vMerge w:val="restart"/>
            <w:shd w:val="clear" w:color="auto" w:fill="1F3864"/>
            <w:vAlign w:val="center"/>
          </w:tcPr>
          <w:p w14:paraId="50BEFA27" w14:textId="77777777" w:rsidR="004502EA" w:rsidRPr="006216B7" w:rsidRDefault="0D3211E3" w:rsidP="0D3211E3">
            <w:pPr>
              <w:spacing w:line="240" w:lineRule="auto"/>
              <w:jc w:val="center"/>
              <w:rPr>
                <w:rFonts w:ascii="Times New Roman,Arial" w:eastAsia="Times New Roman,Arial" w:hAnsi="Times New Roman,Arial" w:cs="Times New Roman,Arial"/>
                <w:b/>
                <w:bCs/>
                <w:sz w:val="20"/>
                <w:szCs w:val="20"/>
              </w:rPr>
            </w:pPr>
            <w:r w:rsidRPr="0D3211E3">
              <w:rPr>
                <w:rFonts w:ascii="Wingdings 2" w:eastAsia="Wingdings 2" w:hAnsi="Wingdings 2" w:cs="Wingdings 2"/>
                <w:b/>
                <w:bCs/>
                <w:sz w:val="36"/>
                <w:szCs w:val="36"/>
              </w:rPr>
              <w:lastRenderedPageBreak/>
              <w:t></w:t>
            </w:r>
          </w:p>
        </w:tc>
        <w:tc>
          <w:tcPr>
            <w:tcW w:w="1537" w:type="pct"/>
            <w:vMerge w:val="restart"/>
            <w:shd w:val="clear" w:color="auto" w:fill="1F3864"/>
            <w:vAlign w:val="center"/>
          </w:tcPr>
          <w:p w14:paraId="74433898"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Action/Task</w:t>
            </w:r>
          </w:p>
        </w:tc>
        <w:tc>
          <w:tcPr>
            <w:tcW w:w="664" w:type="pct"/>
            <w:vMerge w:val="restart"/>
            <w:shd w:val="clear" w:color="auto" w:fill="1F3864"/>
            <w:vAlign w:val="center"/>
          </w:tcPr>
          <w:p w14:paraId="54395E17"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Location</w:t>
            </w:r>
          </w:p>
        </w:tc>
        <w:tc>
          <w:tcPr>
            <w:tcW w:w="1485" w:type="pct"/>
            <w:gridSpan w:val="2"/>
            <w:tcBorders>
              <w:bottom w:val="single" w:sz="4" w:space="0" w:color="auto"/>
            </w:tcBorders>
            <w:shd w:val="clear" w:color="auto" w:fill="1F3864"/>
            <w:vAlign w:val="center"/>
          </w:tcPr>
          <w:p w14:paraId="2AF2794C"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Staff Responsible</w:t>
            </w:r>
          </w:p>
        </w:tc>
        <w:tc>
          <w:tcPr>
            <w:tcW w:w="1018" w:type="pct"/>
            <w:vMerge w:val="restart"/>
            <w:shd w:val="clear" w:color="auto" w:fill="1F3864"/>
            <w:vAlign w:val="center"/>
          </w:tcPr>
          <w:p w14:paraId="4707AF9E"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Notes</w:t>
            </w:r>
          </w:p>
        </w:tc>
      </w:tr>
      <w:tr w:rsidR="004502EA" w:rsidRPr="006216B7" w14:paraId="186EB36B" w14:textId="77777777" w:rsidTr="0D3211E3">
        <w:trPr>
          <w:trHeight w:val="350"/>
          <w:tblHeader/>
        </w:trPr>
        <w:tc>
          <w:tcPr>
            <w:tcW w:w="296" w:type="pct"/>
            <w:vMerge/>
            <w:shd w:val="clear" w:color="auto" w:fill="auto"/>
          </w:tcPr>
          <w:p w14:paraId="464FCBC1"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vMerge/>
            <w:shd w:val="clear" w:color="auto" w:fill="auto"/>
          </w:tcPr>
          <w:p w14:paraId="5C8C6B09" w14:textId="77777777" w:rsidR="004502EA" w:rsidRPr="006216B7" w:rsidRDefault="004502EA" w:rsidP="005B07AC">
            <w:pPr>
              <w:spacing w:line="240" w:lineRule="auto"/>
              <w:rPr>
                <w:rFonts w:eastAsia="Times New Roman" w:cs="Arial"/>
                <w:b/>
                <w:sz w:val="20"/>
                <w:szCs w:val="20"/>
              </w:rPr>
            </w:pPr>
          </w:p>
        </w:tc>
        <w:tc>
          <w:tcPr>
            <w:tcW w:w="664" w:type="pct"/>
            <w:vMerge/>
            <w:shd w:val="clear" w:color="auto" w:fill="auto"/>
          </w:tcPr>
          <w:p w14:paraId="3382A365" w14:textId="77777777" w:rsidR="004502EA" w:rsidRPr="006216B7" w:rsidRDefault="004502EA" w:rsidP="005B07AC">
            <w:pPr>
              <w:spacing w:line="240" w:lineRule="auto"/>
              <w:rPr>
                <w:rFonts w:eastAsia="Times New Roman" w:cs="Arial"/>
                <w:b/>
                <w:sz w:val="20"/>
                <w:szCs w:val="20"/>
              </w:rPr>
            </w:pPr>
          </w:p>
        </w:tc>
        <w:tc>
          <w:tcPr>
            <w:tcW w:w="741" w:type="pct"/>
            <w:shd w:val="clear" w:color="auto" w:fill="1F3864"/>
            <w:vAlign w:val="center"/>
          </w:tcPr>
          <w:p w14:paraId="4F7D2F88"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Primary</w:t>
            </w:r>
          </w:p>
        </w:tc>
        <w:tc>
          <w:tcPr>
            <w:tcW w:w="744" w:type="pct"/>
            <w:shd w:val="clear" w:color="auto" w:fill="1F3864"/>
            <w:vAlign w:val="center"/>
          </w:tcPr>
          <w:p w14:paraId="27BB1547"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Alternate</w:t>
            </w:r>
          </w:p>
        </w:tc>
        <w:tc>
          <w:tcPr>
            <w:tcW w:w="1018" w:type="pct"/>
            <w:vMerge/>
            <w:shd w:val="clear" w:color="auto" w:fill="auto"/>
          </w:tcPr>
          <w:p w14:paraId="5C71F136" w14:textId="77777777" w:rsidR="004502EA" w:rsidRPr="006216B7" w:rsidRDefault="004502EA" w:rsidP="005B07AC">
            <w:pPr>
              <w:spacing w:line="240" w:lineRule="auto"/>
              <w:rPr>
                <w:rFonts w:eastAsia="Times New Roman" w:cs="Arial"/>
                <w:b/>
                <w:sz w:val="20"/>
                <w:szCs w:val="20"/>
              </w:rPr>
            </w:pPr>
          </w:p>
        </w:tc>
      </w:tr>
      <w:tr w:rsidR="004502EA" w:rsidRPr="006216B7" w14:paraId="482FE64B" w14:textId="77777777" w:rsidTr="0D3211E3">
        <w:trPr>
          <w:trHeight w:val="710"/>
        </w:trPr>
        <w:tc>
          <w:tcPr>
            <w:tcW w:w="296" w:type="pct"/>
            <w:shd w:val="clear" w:color="auto" w:fill="auto"/>
          </w:tcPr>
          <w:p w14:paraId="62199465"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7ABCC273"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Cover and secure vulnerable equipment with plastic.</w:t>
            </w:r>
          </w:p>
        </w:tc>
        <w:tc>
          <w:tcPr>
            <w:tcW w:w="664" w:type="pct"/>
            <w:shd w:val="clear" w:color="auto" w:fill="auto"/>
            <w:vAlign w:val="center"/>
          </w:tcPr>
          <w:p w14:paraId="0DA123B1"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4C4CEA3D"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50895670"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38C1F859" w14:textId="77777777" w:rsidR="004502EA" w:rsidRPr="006216B7" w:rsidRDefault="004502EA" w:rsidP="005B07AC">
            <w:pPr>
              <w:spacing w:line="240" w:lineRule="auto"/>
              <w:rPr>
                <w:rFonts w:eastAsia="Times New Roman" w:cs="Arial"/>
                <w:b/>
                <w:sz w:val="20"/>
                <w:szCs w:val="20"/>
              </w:rPr>
            </w:pPr>
          </w:p>
        </w:tc>
      </w:tr>
      <w:tr w:rsidR="004502EA" w:rsidRPr="006216B7" w14:paraId="700FD5C7" w14:textId="77777777" w:rsidTr="0D3211E3">
        <w:trPr>
          <w:trHeight w:val="1592"/>
        </w:trPr>
        <w:tc>
          <w:tcPr>
            <w:tcW w:w="296" w:type="pct"/>
            <w:shd w:val="clear" w:color="auto" w:fill="auto"/>
          </w:tcPr>
          <w:p w14:paraId="0C8FE7CE"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40E1F8E5"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When possible, move equipment and other valuable items into interior areas of the building away from windows. Tag moved equipment with department contact information for easy identification and retrieval.</w:t>
            </w:r>
          </w:p>
        </w:tc>
        <w:tc>
          <w:tcPr>
            <w:tcW w:w="664" w:type="pct"/>
            <w:shd w:val="clear" w:color="auto" w:fill="auto"/>
            <w:vAlign w:val="center"/>
          </w:tcPr>
          <w:p w14:paraId="41004F19"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67C0C651"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308D56CC"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797E50C6" w14:textId="77777777" w:rsidR="004502EA" w:rsidRPr="006216B7" w:rsidRDefault="004502EA" w:rsidP="005B07AC">
            <w:pPr>
              <w:spacing w:line="240" w:lineRule="auto"/>
              <w:rPr>
                <w:rFonts w:eastAsia="Times New Roman" w:cs="Arial"/>
                <w:b/>
                <w:sz w:val="20"/>
                <w:szCs w:val="20"/>
              </w:rPr>
            </w:pPr>
          </w:p>
        </w:tc>
      </w:tr>
      <w:tr w:rsidR="004502EA" w:rsidRPr="006216B7" w14:paraId="759E9A45" w14:textId="77777777" w:rsidTr="0D3211E3">
        <w:trPr>
          <w:trHeight w:val="1610"/>
        </w:trPr>
        <w:tc>
          <w:tcPr>
            <w:tcW w:w="296" w:type="pct"/>
            <w:shd w:val="clear" w:color="auto" w:fill="auto"/>
          </w:tcPr>
          <w:p w14:paraId="7B04FA47"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02FF9470"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In areas subject to flooding, relocate equipment and other valuable items to a higher floor or elevate. Tag moved equipment with department contact information for easy identification and retrieval.</w:t>
            </w:r>
          </w:p>
        </w:tc>
        <w:tc>
          <w:tcPr>
            <w:tcW w:w="664" w:type="pct"/>
            <w:shd w:val="clear" w:color="auto" w:fill="auto"/>
            <w:vAlign w:val="center"/>
          </w:tcPr>
          <w:p w14:paraId="568C698B"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1A939487"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6AA258D8"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6FFBD3EC" w14:textId="77777777" w:rsidR="004502EA" w:rsidRPr="006216B7" w:rsidRDefault="004502EA" w:rsidP="005B07AC">
            <w:pPr>
              <w:spacing w:line="240" w:lineRule="auto"/>
              <w:rPr>
                <w:rFonts w:eastAsia="Times New Roman" w:cs="Arial"/>
                <w:b/>
                <w:sz w:val="20"/>
                <w:szCs w:val="20"/>
              </w:rPr>
            </w:pPr>
          </w:p>
        </w:tc>
      </w:tr>
      <w:tr w:rsidR="004502EA" w:rsidRPr="006216B7" w14:paraId="61263A07" w14:textId="77777777" w:rsidTr="0D3211E3">
        <w:trPr>
          <w:trHeight w:val="710"/>
        </w:trPr>
        <w:tc>
          <w:tcPr>
            <w:tcW w:w="296" w:type="pct"/>
            <w:shd w:val="clear" w:color="auto" w:fill="auto"/>
          </w:tcPr>
          <w:p w14:paraId="30DCCCAD"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22910ACD"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Remove or secure equipment from outdoor and rooftop locations.</w:t>
            </w:r>
          </w:p>
        </w:tc>
        <w:tc>
          <w:tcPr>
            <w:tcW w:w="664" w:type="pct"/>
            <w:shd w:val="clear" w:color="auto" w:fill="auto"/>
            <w:vAlign w:val="center"/>
          </w:tcPr>
          <w:p w14:paraId="36AF6883"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54C529ED"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1C0157D6"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3691E7B2" w14:textId="77777777" w:rsidR="004502EA" w:rsidRPr="006216B7" w:rsidRDefault="004502EA" w:rsidP="005B07AC">
            <w:pPr>
              <w:spacing w:line="240" w:lineRule="auto"/>
              <w:rPr>
                <w:rFonts w:eastAsia="Times New Roman" w:cs="Arial"/>
                <w:b/>
                <w:sz w:val="20"/>
                <w:szCs w:val="20"/>
              </w:rPr>
            </w:pPr>
          </w:p>
        </w:tc>
      </w:tr>
      <w:tr w:rsidR="004502EA" w:rsidRPr="006216B7" w14:paraId="7CFEC54F" w14:textId="77777777" w:rsidTr="0D3211E3">
        <w:trPr>
          <w:trHeight w:val="890"/>
        </w:trPr>
        <w:tc>
          <w:tcPr>
            <w:tcW w:w="296" w:type="pct"/>
            <w:shd w:val="clear" w:color="auto" w:fill="auto"/>
          </w:tcPr>
          <w:p w14:paraId="526770CE"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28238DC6"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Clear refrigerators and freezers of items that could spoil if power is lost, but leave appliance plugged in.</w:t>
            </w:r>
          </w:p>
        </w:tc>
        <w:tc>
          <w:tcPr>
            <w:tcW w:w="664" w:type="pct"/>
            <w:shd w:val="clear" w:color="auto" w:fill="auto"/>
            <w:vAlign w:val="center"/>
          </w:tcPr>
          <w:p w14:paraId="7CBEED82"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6E36661F"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38645DC7"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135E58C4" w14:textId="77777777" w:rsidR="004502EA" w:rsidRPr="006216B7" w:rsidRDefault="004502EA" w:rsidP="005B07AC">
            <w:pPr>
              <w:spacing w:line="240" w:lineRule="auto"/>
              <w:rPr>
                <w:rFonts w:eastAsia="Times New Roman" w:cs="Arial"/>
                <w:b/>
                <w:sz w:val="20"/>
                <w:szCs w:val="20"/>
              </w:rPr>
            </w:pPr>
          </w:p>
        </w:tc>
      </w:tr>
      <w:tr w:rsidR="004502EA" w:rsidRPr="006216B7" w14:paraId="1EA639B3" w14:textId="77777777" w:rsidTr="0D3211E3">
        <w:trPr>
          <w:trHeight w:val="890"/>
        </w:trPr>
        <w:tc>
          <w:tcPr>
            <w:tcW w:w="296" w:type="pct"/>
            <w:shd w:val="clear" w:color="auto" w:fill="auto"/>
          </w:tcPr>
          <w:p w14:paraId="62EBF9A1"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225DFFAD"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Place important records and files in cabinets and cover with plastic.</w:t>
            </w:r>
          </w:p>
        </w:tc>
        <w:tc>
          <w:tcPr>
            <w:tcW w:w="664" w:type="pct"/>
            <w:shd w:val="clear" w:color="auto" w:fill="auto"/>
            <w:vAlign w:val="center"/>
          </w:tcPr>
          <w:p w14:paraId="0C6C2CD5"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709E88E4"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508C98E9"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779F8E76" w14:textId="77777777" w:rsidR="004502EA" w:rsidRPr="006216B7" w:rsidRDefault="004502EA" w:rsidP="005B07AC">
            <w:pPr>
              <w:spacing w:line="240" w:lineRule="auto"/>
              <w:rPr>
                <w:rFonts w:eastAsia="Times New Roman" w:cs="Arial"/>
                <w:b/>
                <w:sz w:val="20"/>
                <w:szCs w:val="20"/>
              </w:rPr>
            </w:pPr>
          </w:p>
        </w:tc>
      </w:tr>
      <w:tr w:rsidR="004502EA" w:rsidRPr="006216B7" w14:paraId="78EB69F3" w14:textId="77777777" w:rsidTr="0D3211E3">
        <w:trPr>
          <w:trHeight w:val="800"/>
        </w:trPr>
        <w:tc>
          <w:tcPr>
            <w:tcW w:w="296" w:type="pct"/>
            <w:shd w:val="clear" w:color="auto" w:fill="auto"/>
          </w:tcPr>
          <w:p w14:paraId="7818863E"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4CB3CAB3"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Close and latch (or secure with tape if needed) filling cabinets and cupboards.</w:t>
            </w:r>
          </w:p>
        </w:tc>
        <w:tc>
          <w:tcPr>
            <w:tcW w:w="664" w:type="pct"/>
            <w:shd w:val="clear" w:color="auto" w:fill="auto"/>
            <w:vAlign w:val="center"/>
          </w:tcPr>
          <w:p w14:paraId="44F69B9A"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5F07D11E"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41508A3C"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43D6B1D6" w14:textId="77777777" w:rsidR="004502EA" w:rsidRPr="006216B7" w:rsidRDefault="004502EA" w:rsidP="005B07AC">
            <w:pPr>
              <w:spacing w:line="240" w:lineRule="auto"/>
              <w:rPr>
                <w:rFonts w:eastAsia="Times New Roman" w:cs="Arial"/>
                <w:b/>
                <w:sz w:val="20"/>
                <w:szCs w:val="20"/>
              </w:rPr>
            </w:pPr>
          </w:p>
        </w:tc>
      </w:tr>
      <w:tr w:rsidR="004502EA" w:rsidRPr="006216B7" w14:paraId="2F94DE14" w14:textId="77777777" w:rsidTr="0D3211E3">
        <w:trPr>
          <w:trHeight w:val="800"/>
        </w:trPr>
        <w:tc>
          <w:tcPr>
            <w:tcW w:w="296" w:type="pct"/>
            <w:shd w:val="clear" w:color="auto" w:fill="auto"/>
          </w:tcPr>
          <w:p w14:paraId="17DBC151"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2C6ACA0C"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Back-up electronic data and store in multiple locations.</w:t>
            </w:r>
          </w:p>
        </w:tc>
        <w:tc>
          <w:tcPr>
            <w:tcW w:w="664" w:type="pct"/>
            <w:shd w:val="clear" w:color="auto" w:fill="auto"/>
            <w:vAlign w:val="center"/>
          </w:tcPr>
          <w:p w14:paraId="6F8BD81B"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2613E9C1"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1037B8A3"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687C6DE0" w14:textId="77777777" w:rsidR="004502EA" w:rsidRPr="006216B7" w:rsidRDefault="004502EA" w:rsidP="005B07AC">
            <w:pPr>
              <w:spacing w:line="240" w:lineRule="auto"/>
              <w:rPr>
                <w:rFonts w:eastAsia="Times New Roman" w:cs="Arial"/>
                <w:b/>
                <w:sz w:val="20"/>
                <w:szCs w:val="20"/>
              </w:rPr>
            </w:pPr>
          </w:p>
        </w:tc>
      </w:tr>
      <w:tr w:rsidR="004502EA" w:rsidRPr="006216B7" w14:paraId="7FD6E2B7" w14:textId="77777777" w:rsidTr="0D3211E3">
        <w:trPr>
          <w:trHeight w:val="800"/>
        </w:trPr>
        <w:tc>
          <w:tcPr>
            <w:tcW w:w="296" w:type="pct"/>
            <w:shd w:val="clear" w:color="auto" w:fill="auto"/>
          </w:tcPr>
          <w:p w14:paraId="5B2F9378"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0301C99C"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Follow IT provider instructions for computer equipment preparations.</w:t>
            </w:r>
          </w:p>
        </w:tc>
        <w:tc>
          <w:tcPr>
            <w:tcW w:w="664" w:type="pct"/>
            <w:shd w:val="clear" w:color="auto" w:fill="auto"/>
            <w:vAlign w:val="center"/>
          </w:tcPr>
          <w:p w14:paraId="58E6DD4E"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7D3BEE8F"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3B88899E"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69E2BB2B" w14:textId="77777777" w:rsidR="004502EA" w:rsidRPr="006216B7" w:rsidRDefault="004502EA" w:rsidP="005B07AC">
            <w:pPr>
              <w:spacing w:line="240" w:lineRule="auto"/>
              <w:rPr>
                <w:rFonts w:eastAsia="Times New Roman" w:cs="Arial"/>
                <w:b/>
                <w:sz w:val="20"/>
                <w:szCs w:val="20"/>
              </w:rPr>
            </w:pPr>
          </w:p>
        </w:tc>
      </w:tr>
      <w:tr w:rsidR="004502EA" w:rsidRPr="006216B7" w14:paraId="1186F429" w14:textId="77777777" w:rsidTr="0D3211E3">
        <w:trPr>
          <w:trHeight w:val="917"/>
        </w:trPr>
        <w:tc>
          <w:tcPr>
            <w:tcW w:w="296" w:type="pct"/>
            <w:shd w:val="clear" w:color="auto" w:fill="auto"/>
          </w:tcPr>
          <w:p w14:paraId="57C0D796"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671A4BFC"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Clear desktops, tables and exposed horizontal surfaces of materials subject to damage.</w:t>
            </w:r>
          </w:p>
        </w:tc>
        <w:tc>
          <w:tcPr>
            <w:tcW w:w="664" w:type="pct"/>
            <w:shd w:val="clear" w:color="auto" w:fill="auto"/>
            <w:vAlign w:val="center"/>
          </w:tcPr>
          <w:p w14:paraId="0D142F6F"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4475AD14"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120C4E94"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42AFC42D" w14:textId="77777777" w:rsidR="004502EA" w:rsidRPr="006216B7" w:rsidRDefault="004502EA" w:rsidP="005B07AC">
            <w:pPr>
              <w:spacing w:line="240" w:lineRule="auto"/>
              <w:rPr>
                <w:rFonts w:eastAsia="Times New Roman" w:cs="Arial"/>
                <w:b/>
                <w:sz w:val="20"/>
                <w:szCs w:val="20"/>
              </w:rPr>
            </w:pPr>
          </w:p>
        </w:tc>
      </w:tr>
      <w:tr w:rsidR="004502EA" w:rsidRPr="006216B7" w14:paraId="45BEE72C" w14:textId="77777777" w:rsidTr="0D3211E3">
        <w:trPr>
          <w:trHeight w:val="890"/>
        </w:trPr>
        <w:tc>
          <w:tcPr>
            <w:tcW w:w="296" w:type="pct"/>
            <w:shd w:val="clear" w:color="auto" w:fill="auto"/>
          </w:tcPr>
          <w:p w14:paraId="271CA723"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2FF0F48B"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Place telephone in desk drawer if the cord is long enough. Do not unplug telephones.</w:t>
            </w:r>
          </w:p>
        </w:tc>
        <w:tc>
          <w:tcPr>
            <w:tcW w:w="664" w:type="pct"/>
            <w:shd w:val="clear" w:color="auto" w:fill="auto"/>
            <w:vAlign w:val="center"/>
          </w:tcPr>
          <w:p w14:paraId="75FBE423"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2D3F0BEC"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75CF4315"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3CB648E9" w14:textId="77777777" w:rsidR="004502EA" w:rsidRPr="006216B7" w:rsidRDefault="004502EA" w:rsidP="005B07AC">
            <w:pPr>
              <w:spacing w:line="240" w:lineRule="auto"/>
              <w:rPr>
                <w:rFonts w:eastAsia="Times New Roman" w:cs="Arial"/>
                <w:b/>
                <w:sz w:val="20"/>
                <w:szCs w:val="20"/>
              </w:rPr>
            </w:pPr>
          </w:p>
        </w:tc>
      </w:tr>
      <w:tr w:rsidR="004502EA" w:rsidRPr="006216B7" w14:paraId="0D35A7E4" w14:textId="77777777" w:rsidTr="0D3211E3">
        <w:trPr>
          <w:trHeight w:val="890"/>
        </w:trPr>
        <w:tc>
          <w:tcPr>
            <w:tcW w:w="296" w:type="pct"/>
            <w:shd w:val="clear" w:color="auto" w:fill="auto"/>
          </w:tcPr>
          <w:p w14:paraId="0C178E9E"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5F944407"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Take personal possessions home.  UF is not responsible for personal items damaged.</w:t>
            </w:r>
          </w:p>
        </w:tc>
        <w:tc>
          <w:tcPr>
            <w:tcW w:w="664" w:type="pct"/>
            <w:shd w:val="clear" w:color="auto" w:fill="auto"/>
            <w:vAlign w:val="center"/>
          </w:tcPr>
          <w:p w14:paraId="3C0395D3"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3254BC2F"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651E9592"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269E314A" w14:textId="77777777" w:rsidR="004502EA" w:rsidRPr="006216B7" w:rsidRDefault="004502EA" w:rsidP="005B07AC">
            <w:pPr>
              <w:spacing w:line="240" w:lineRule="auto"/>
              <w:rPr>
                <w:rFonts w:eastAsia="Times New Roman" w:cs="Arial"/>
                <w:b/>
                <w:sz w:val="20"/>
                <w:szCs w:val="20"/>
              </w:rPr>
            </w:pPr>
          </w:p>
        </w:tc>
      </w:tr>
      <w:tr w:rsidR="004502EA" w:rsidRPr="006216B7" w14:paraId="7B09AB1C" w14:textId="77777777" w:rsidTr="0D3211E3">
        <w:trPr>
          <w:trHeight w:val="377"/>
        </w:trPr>
        <w:tc>
          <w:tcPr>
            <w:tcW w:w="296" w:type="pct"/>
            <w:shd w:val="clear" w:color="auto" w:fill="auto"/>
          </w:tcPr>
          <w:p w14:paraId="47341341"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7C376ACB"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Secure windows and close blinds.</w:t>
            </w:r>
          </w:p>
        </w:tc>
        <w:tc>
          <w:tcPr>
            <w:tcW w:w="664" w:type="pct"/>
            <w:shd w:val="clear" w:color="auto" w:fill="auto"/>
            <w:vAlign w:val="center"/>
          </w:tcPr>
          <w:p w14:paraId="42EF2083" w14:textId="77777777" w:rsidR="004502EA" w:rsidRPr="006216B7" w:rsidRDefault="004502EA" w:rsidP="005B07AC">
            <w:pPr>
              <w:spacing w:line="240" w:lineRule="auto"/>
              <w:jc w:val="center"/>
              <w:rPr>
                <w:rFonts w:eastAsia="Times New Roman" w:cs="Arial"/>
                <w:b/>
                <w:sz w:val="20"/>
                <w:szCs w:val="20"/>
              </w:rPr>
            </w:pPr>
          </w:p>
        </w:tc>
        <w:tc>
          <w:tcPr>
            <w:tcW w:w="741" w:type="pct"/>
            <w:shd w:val="clear" w:color="auto" w:fill="auto"/>
            <w:vAlign w:val="center"/>
          </w:tcPr>
          <w:p w14:paraId="7B40C951" w14:textId="77777777" w:rsidR="004502EA" w:rsidRPr="006216B7" w:rsidRDefault="004502EA" w:rsidP="005B07AC">
            <w:pPr>
              <w:spacing w:line="240" w:lineRule="auto"/>
              <w:jc w:val="center"/>
              <w:rPr>
                <w:rFonts w:eastAsia="Times New Roman" w:cs="Arial"/>
                <w:b/>
                <w:sz w:val="20"/>
                <w:szCs w:val="20"/>
              </w:rPr>
            </w:pPr>
          </w:p>
        </w:tc>
        <w:tc>
          <w:tcPr>
            <w:tcW w:w="744" w:type="pct"/>
            <w:shd w:val="clear" w:color="auto" w:fill="auto"/>
            <w:vAlign w:val="center"/>
          </w:tcPr>
          <w:p w14:paraId="4B4D7232"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2093CA67" w14:textId="77777777" w:rsidR="004502EA" w:rsidRPr="006216B7" w:rsidRDefault="004502EA" w:rsidP="005B07AC">
            <w:pPr>
              <w:spacing w:line="240" w:lineRule="auto"/>
              <w:rPr>
                <w:rFonts w:eastAsia="Times New Roman" w:cs="Arial"/>
                <w:b/>
                <w:sz w:val="20"/>
                <w:szCs w:val="20"/>
              </w:rPr>
            </w:pPr>
          </w:p>
        </w:tc>
      </w:tr>
      <w:tr w:rsidR="004502EA" w:rsidRPr="006216B7" w14:paraId="2B2CA01A" w14:textId="77777777" w:rsidTr="0D3211E3">
        <w:trPr>
          <w:trHeight w:val="710"/>
        </w:trPr>
        <w:tc>
          <w:tcPr>
            <w:tcW w:w="296" w:type="pct"/>
            <w:shd w:val="clear" w:color="auto" w:fill="auto"/>
          </w:tcPr>
          <w:p w14:paraId="2503B197"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159F780E"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Change voice mail to indicate UF closure.</w:t>
            </w:r>
          </w:p>
        </w:tc>
        <w:tc>
          <w:tcPr>
            <w:tcW w:w="664" w:type="pct"/>
            <w:shd w:val="clear" w:color="auto" w:fill="auto"/>
            <w:vAlign w:val="center"/>
          </w:tcPr>
          <w:p w14:paraId="38288749" w14:textId="77777777" w:rsidR="004502EA" w:rsidRPr="006216B7" w:rsidRDefault="004502EA" w:rsidP="005B07AC">
            <w:pPr>
              <w:spacing w:line="240" w:lineRule="auto"/>
              <w:jc w:val="center"/>
              <w:rPr>
                <w:rFonts w:eastAsia="Times New Roman" w:cs="Arial"/>
                <w:b/>
                <w:sz w:val="20"/>
                <w:szCs w:val="20"/>
              </w:rPr>
            </w:pPr>
          </w:p>
        </w:tc>
        <w:tc>
          <w:tcPr>
            <w:tcW w:w="741" w:type="pct"/>
            <w:shd w:val="clear" w:color="auto" w:fill="auto"/>
            <w:vAlign w:val="center"/>
          </w:tcPr>
          <w:p w14:paraId="7F95F668" w14:textId="77777777" w:rsidR="004502EA" w:rsidRPr="006216B7" w:rsidRDefault="0D3211E3" w:rsidP="0D3211E3">
            <w:pPr>
              <w:spacing w:line="240" w:lineRule="auto"/>
              <w:jc w:val="center"/>
              <w:rPr>
                <w:rFonts w:ascii="Arial,Times New Roman" w:eastAsia="Arial,Times New Roman" w:hAnsi="Arial,Times New Roman" w:cs="Arial,Times New Roman"/>
                <w:b/>
                <w:bCs/>
                <w:sz w:val="20"/>
                <w:szCs w:val="20"/>
              </w:rPr>
            </w:pPr>
            <w:r w:rsidRPr="0D3211E3">
              <w:rPr>
                <w:b/>
                <w:bCs/>
                <w:sz w:val="20"/>
                <w:szCs w:val="20"/>
              </w:rPr>
              <w:t>All</w:t>
            </w:r>
          </w:p>
        </w:tc>
        <w:tc>
          <w:tcPr>
            <w:tcW w:w="744" w:type="pct"/>
            <w:shd w:val="clear" w:color="auto" w:fill="auto"/>
            <w:vAlign w:val="center"/>
          </w:tcPr>
          <w:p w14:paraId="20BD9A1A"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0C136CF1" w14:textId="77777777" w:rsidR="004502EA" w:rsidRPr="006216B7" w:rsidRDefault="004502EA" w:rsidP="005B07AC">
            <w:pPr>
              <w:spacing w:line="240" w:lineRule="auto"/>
              <w:rPr>
                <w:rFonts w:eastAsia="Times New Roman" w:cs="Arial"/>
                <w:b/>
                <w:sz w:val="20"/>
                <w:szCs w:val="20"/>
              </w:rPr>
            </w:pPr>
          </w:p>
        </w:tc>
      </w:tr>
      <w:tr w:rsidR="004502EA" w:rsidRPr="006216B7" w14:paraId="3E3C3F8C" w14:textId="77777777" w:rsidTr="0D3211E3">
        <w:trPr>
          <w:trHeight w:val="647"/>
        </w:trPr>
        <w:tc>
          <w:tcPr>
            <w:tcW w:w="296" w:type="pct"/>
            <w:shd w:val="clear" w:color="auto" w:fill="auto"/>
          </w:tcPr>
          <w:p w14:paraId="0A392C6A"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6A90CD84"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Close and lock all doors, including office doors, before leaving.</w:t>
            </w:r>
          </w:p>
        </w:tc>
        <w:tc>
          <w:tcPr>
            <w:tcW w:w="664" w:type="pct"/>
            <w:shd w:val="clear" w:color="auto" w:fill="auto"/>
            <w:vAlign w:val="center"/>
          </w:tcPr>
          <w:p w14:paraId="290583F9"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68F21D90"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13C326F3"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4853B841" w14:textId="77777777" w:rsidR="004502EA" w:rsidRPr="006216B7" w:rsidRDefault="004502EA" w:rsidP="005B07AC">
            <w:pPr>
              <w:spacing w:line="240" w:lineRule="auto"/>
              <w:rPr>
                <w:rFonts w:eastAsia="Times New Roman" w:cs="Arial"/>
                <w:b/>
                <w:sz w:val="20"/>
                <w:szCs w:val="20"/>
              </w:rPr>
            </w:pPr>
          </w:p>
        </w:tc>
      </w:tr>
      <w:tr w:rsidR="004502EA" w:rsidRPr="006216B7" w14:paraId="7216A380" w14:textId="77777777" w:rsidTr="0D3211E3">
        <w:trPr>
          <w:trHeight w:val="917"/>
        </w:trPr>
        <w:tc>
          <w:tcPr>
            <w:tcW w:w="296" w:type="pct"/>
            <w:shd w:val="clear" w:color="auto" w:fill="auto"/>
          </w:tcPr>
          <w:p w14:paraId="50125231"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7CFF54F5"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r w:rsidRPr="0D3211E3">
              <w:rPr>
                <w:sz w:val="20"/>
                <w:szCs w:val="20"/>
              </w:rPr>
              <w:t>If appropriate, complete Attachment C – Vehicle Assignments for Tropical Weather</w:t>
            </w:r>
          </w:p>
        </w:tc>
        <w:tc>
          <w:tcPr>
            <w:tcW w:w="664" w:type="pct"/>
            <w:shd w:val="clear" w:color="auto" w:fill="auto"/>
            <w:vAlign w:val="center"/>
          </w:tcPr>
          <w:p w14:paraId="5A25747A"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09B8D95D"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78BEFD2A"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27A76422" w14:textId="77777777" w:rsidR="004502EA" w:rsidRPr="006216B7" w:rsidRDefault="004502EA" w:rsidP="005B07AC">
            <w:pPr>
              <w:spacing w:line="240" w:lineRule="auto"/>
              <w:rPr>
                <w:rFonts w:eastAsia="Times New Roman" w:cs="Arial"/>
                <w:b/>
                <w:sz w:val="20"/>
                <w:szCs w:val="20"/>
              </w:rPr>
            </w:pPr>
          </w:p>
        </w:tc>
      </w:tr>
      <w:tr w:rsidR="004502EA" w:rsidRPr="006216B7" w14:paraId="3DB644F4" w14:textId="77777777" w:rsidTr="0D3211E3">
        <w:trPr>
          <w:trHeight w:val="890"/>
        </w:trPr>
        <w:tc>
          <w:tcPr>
            <w:tcW w:w="296" w:type="pct"/>
            <w:shd w:val="clear" w:color="auto" w:fill="auto"/>
          </w:tcPr>
          <w:p w14:paraId="49206A88" w14:textId="77777777" w:rsidR="004502EA" w:rsidRPr="006216B7" w:rsidRDefault="004502EA" w:rsidP="005B07AC">
            <w:pPr>
              <w:spacing w:line="240" w:lineRule="auto"/>
              <w:rPr>
                <w:rFonts w:ascii="Times New Roman" w:eastAsia="Times New Roman" w:hAnsi="Times New Roman" w:cs="Arial"/>
                <w:b/>
                <w:sz w:val="20"/>
                <w:szCs w:val="20"/>
              </w:rPr>
            </w:pPr>
            <w:bookmarkStart w:id="2" w:name="_GoBack" w:colFirst="4" w:colLast="4"/>
          </w:p>
        </w:tc>
        <w:tc>
          <w:tcPr>
            <w:tcW w:w="1537" w:type="pct"/>
            <w:shd w:val="clear" w:color="auto" w:fill="auto"/>
            <w:vAlign w:val="center"/>
          </w:tcPr>
          <w:p w14:paraId="1D98DDA0" w14:textId="77777777" w:rsidR="004502EA" w:rsidRPr="006216B7" w:rsidRDefault="0D3211E3" w:rsidP="0D3211E3">
            <w:pPr>
              <w:spacing w:line="240" w:lineRule="auto"/>
              <w:rPr>
                <w:rFonts w:ascii="Arial,Times New Roman" w:eastAsia="Arial,Times New Roman" w:hAnsi="Arial,Times New Roman" w:cs="Arial,Times New Roman"/>
                <w:sz w:val="20"/>
                <w:szCs w:val="20"/>
              </w:rPr>
            </w:pPr>
            <w:commentRangeStart w:id="3"/>
            <w:r w:rsidRPr="0D3211E3">
              <w:rPr>
                <w:sz w:val="20"/>
                <w:szCs w:val="20"/>
              </w:rPr>
              <w:t>If appropriate, complete Attachment A – Laboratory and Research Areas Checklist</w:t>
            </w:r>
            <w:commentRangeEnd w:id="3"/>
            <w:r w:rsidR="003C1BC1">
              <w:rPr>
                <w:rStyle w:val="CommentReference"/>
              </w:rPr>
              <w:commentReference w:id="3"/>
            </w:r>
          </w:p>
        </w:tc>
        <w:tc>
          <w:tcPr>
            <w:tcW w:w="664" w:type="pct"/>
            <w:shd w:val="clear" w:color="auto" w:fill="auto"/>
            <w:vAlign w:val="center"/>
          </w:tcPr>
          <w:p w14:paraId="67B7A70C" w14:textId="77777777" w:rsidR="004502EA" w:rsidRPr="006216B7" w:rsidRDefault="004502EA" w:rsidP="005B07AC">
            <w:pPr>
              <w:spacing w:line="240" w:lineRule="auto"/>
              <w:rPr>
                <w:rFonts w:eastAsia="Times New Roman" w:cs="Arial"/>
                <w:b/>
                <w:sz w:val="20"/>
                <w:szCs w:val="20"/>
              </w:rPr>
            </w:pPr>
          </w:p>
        </w:tc>
        <w:tc>
          <w:tcPr>
            <w:tcW w:w="741" w:type="pct"/>
            <w:shd w:val="clear" w:color="auto" w:fill="auto"/>
            <w:vAlign w:val="center"/>
          </w:tcPr>
          <w:p w14:paraId="71887C79" w14:textId="77777777" w:rsidR="004502EA" w:rsidRPr="006216B7" w:rsidRDefault="004502EA" w:rsidP="005B07AC">
            <w:pPr>
              <w:spacing w:line="240" w:lineRule="auto"/>
              <w:rPr>
                <w:rFonts w:eastAsia="Times New Roman" w:cs="Arial"/>
                <w:b/>
                <w:sz w:val="20"/>
                <w:szCs w:val="20"/>
              </w:rPr>
            </w:pPr>
          </w:p>
        </w:tc>
        <w:tc>
          <w:tcPr>
            <w:tcW w:w="744" w:type="pct"/>
            <w:shd w:val="clear" w:color="auto" w:fill="auto"/>
            <w:vAlign w:val="center"/>
          </w:tcPr>
          <w:p w14:paraId="3B7FD67C" w14:textId="77777777" w:rsidR="004502EA" w:rsidRPr="006216B7" w:rsidRDefault="004502EA" w:rsidP="005B07AC">
            <w:pPr>
              <w:spacing w:line="240" w:lineRule="auto"/>
              <w:rPr>
                <w:rFonts w:eastAsia="Times New Roman" w:cs="Arial"/>
                <w:b/>
                <w:sz w:val="20"/>
                <w:szCs w:val="20"/>
              </w:rPr>
            </w:pPr>
          </w:p>
        </w:tc>
        <w:tc>
          <w:tcPr>
            <w:tcW w:w="1018" w:type="pct"/>
            <w:shd w:val="clear" w:color="auto" w:fill="auto"/>
            <w:vAlign w:val="center"/>
          </w:tcPr>
          <w:p w14:paraId="38D6B9B6" w14:textId="77777777" w:rsidR="004502EA" w:rsidRPr="006216B7" w:rsidRDefault="004502EA" w:rsidP="005B07AC">
            <w:pPr>
              <w:spacing w:line="240" w:lineRule="auto"/>
              <w:rPr>
                <w:rFonts w:eastAsia="Times New Roman" w:cs="Arial"/>
                <w:b/>
                <w:sz w:val="20"/>
                <w:szCs w:val="20"/>
              </w:rPr>
            </w:pPr>
          </w:p>
        </w:tc>
      </w:tr>
      <w:bookmarkEnd w:id="2"/>
      <w:tr w:rsidR="004502EA" w:rsidRPr="006216B7" w14:paraId="22F860BB" w14:textId="77777777" w:rsidTr="0D3211E3">
        <w:trPr>
          <w:trHeight w:val="710"/>
        </w:trPr>
        <w:tc>
          <w:tcPr>
            <w:tcW w:w="296" w:type="pct"/>
            <w:shd w:val="clear" w:color="auto" w:fill="auto"/>
          </w:tcPr>
          <w:p w14:paraId="698536F5"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7BC1BAF2" w14:textId="77777777" w:rsidR="004502EA" w:rsidRPr="006216B7" w:rsidRDefault="004502EA" w:rsidP="005B07AC">
            <w:pPr>
              <w:spacing w:line="240" w:lineRule="auto"/>
              <w:rPr>
                <w:rFonts w:ascii="Calibri" w:eastAsia="Times New Roman" w:hAnsi="Calibri" w:cs="Calibri"/>
                <w:sz w:val="20"/>
                <w:szCs w:val="20"/>
              </w:rPr>
            </w:pPr>
          </w:p>
        </w:tc>
        <w:tc>
          <w:tcPr>
            <w:tcW w:w="664" w:type="pct"/>
            <w:shd w:val="clear" w:color="auto" w:fill="auto"/>
            <w:vAlign w:val="center"/>
          </w:tcPr>
          <w:p w14:paraId="61C988F9" w14:textId="77777777" w:rsidR="004502EA" w:rsidRPr="006216B7" w:rsidRDefault="004502EA" w:rsidP="005B07AC">
            <w:pPr>
              <w:spacing w:line="240" w:lineRule="auto"/>
              <w:rPr>
                <w:rFonts w:ascii="Calibri" w:eastAsia="Times New Roman" w:hAnsi="Calibri" w:cs="Calibri"/>
                <w:b/>
                <w:sz w:val="20"/>
                <w:szCs w:val="20"/>
              </w:rPr>
            </w:pPr>
          </w:p>
        </w:tc>
        <w:tc>
          <w:tcPr>
            <w:tcW w:w="741" w:type="pct"/>
            <w:shd w:val="clear" w:color="auto" w:fill="auto"/>
            <w:vAlign w:val="center"/>
          </w:tcPr>
          <w:p w14:paraId="3B22BB7D" w14:textId="77777777" w:rsidR="004502EA" w:rsidRPr="006216B7" w:rsidRDefault="004502EA" w:rsidP="005B07AC">
            <w:pPr>
              <w:spacing w:line="240" w:lineRule="auto"/>
              <w:rPr>
                <w:rFonts w:ascii="Calibri" w:eastAsia="Times New Roman" w:hAnsi="Calibri" w:cs="Calibri"/>
                <w:b/>
                <w:sz w:val="20"/>
                <w:szCs w:val="20"/>
              </w:rPr>
            </w:pPr>
          </w:p>
        </w:tc>
        <w:tc>
          <w:tcPr>
            <w:tcW w:w="744" w:type="pct"/>
            <w:shd w:val="clear" w:color="auto" w:fill="auto"/>
            <w:vAlign w:val="center"/>
          </w:tcPr>
          <w:p w14:paraId="17B246DD" w14:textId="77777777" w:rsidR="004502EA" w:rsidRPr="006216B7" w:rsidRDefault="004502EA" w:rsidP="005B07AC">
            <w:pPr>
              <w:spacing w:line="240" w:lineRule="auto"/>
              <w:rPr>
                <w:rFonts w:ascii="Calibri" w:eastAsia="Times New Roman" w:hAnsi="Calibri" w:cs="Calibri"/>
                <w:b/>
                <w:sz w:val="20"/>
                <w:szCs w:val="20"/>
              </w:rPr>
            </w:pPr>
          </w:p>
        </w:tc>
        <w:tc>
          <w:tcPr>
            <w:tcW w:w="1018" w:type="pct"/>
            <w:shd w:val="clear" w:color="auto" w:fill="auto"/>
            <w:vAlign w:val="center"/>
          </w:tcPr>
          <w:p w14:paraId="6BF89DA3" w14:textId="77777777" w:rsidR="004502EA" w:rsidRPr="006216B7" w:rsidRDefault="004502EA" w:rsidP="005B07AC">
            <w:pPr>
              <w:spacing w:line="240" w:lineRule="auto"/>
              <w:rPr>
                <w:rFonts w:ascii="Calibri" w:eastAsia="Times New Roman" w:hAnsi="Calibri" w:cs="Calibri"/>
                <w:b/>
                <w:sz w:val="20"/>
                <w:szCs w:val="20"/>
              </w:rPr>
            </w:pPr>
          </w:p>
        </w:tc>
      </w:tr>
      <w:tr w:rsidR="004502EA" w:rsidRPr="006216B7" w14:paraId="5C3E0E74" w14:textId="77777777" w:rsidTr="0D3211E3">
        <w:trPr>
          <w:trHeight w:val="710"/>
        </w:trPr>
        <w:tc>
          <w:tcPr>
            <w:tcW w:w="296" w:type="pct"/>
            <w:shd w:val="clear" w:color="auto" w:fill="auto"/>
          </w:tcPr>
          <w:p w14:paraId="66A1FAB9"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76BB753C" w14:textId="77777777" w:rsidR="004502EA" w:rsidRPr="006216B7" w:rsidRDefault="004502EA" w:rsidP="005B07AC">
            <w:pPr>
              <w:spacing w:line="240" w:lineRule="auto"/>
              <w:rPr>
                <w:rFonts w:ascii="Calibri" w:eastAsia="Times New Roman" w:hAnsi="Calibri" w:cs="Calibri"/>
                <w:sz w:val="20"/>
                <w:szCs w:val="20"/>
              </w:rPr>
            </w:pPr>
          </w:p>
        </w:tc>
        <w:tc>
          <w:tcPr>
            <w:tcW w:w="664" w:type="pct"/>
            <w:shd w:val="clear" w:color="auto" w:fill="auto"/>
            <w:vAlign w:val="center"/>
          </w:tcPr>
          <w:p w14:paraId="513DA1E0" w14:textId="77777777" w:rsidR="004502EA" w:rsidRPr="006216B7" w:rsidRDefault="004502EA" w:rsidP="005B07AC">
            <w:pPr>
              <w:spacing w:line="240" w:lineRule="auto"/>
              <w:rPr>
                <w:rFonts w:ascii="Calibri" w:eastAsia="Times New Roman" w:hAnsi="Calibri" w:cs="Calibri"/>
                <w:b/>
                <w:sz w:val="20"/>
                <w:szCs w:val="20"/>
              </w:rPr>
            </w:pPr>
          </w:p>
        </w:tc>
        <w:tc>
          <w:tcPr>
            <w:tcW w:w="741" w:type="pct"/>
            <w:shd w:val="clear" w:color="auto" w:fill="auto"/>
            <w:vAlign w:val="center"/>
          </w:tcPr>
          <w:p w14:paraId="75CAC6F5" w14:textId="77777777" w:rsidR="004502EA" w:rsidRPr="006216B7" w:rsidRDefault="004502EA" w:rsidP="005B07AC">
            <w:pPr>
              <w:spacing w:line="240" w:lineRule="auto"/>
              <w:rPr>
                <w:rFonts w:ascii="Calibri" w:eastAsia="Times New Roman" w:hAnsi="Calibri" w:cs="Calibri"/>
                <w:b/>
                <w:sz w:val="20"/>
                <w:szCs w:val="20"/>
              </w:rPr>
            </w:pPr>
          </w:p>
        </w:tc>
        <w:tc>
          <w:tcPr>
            <w:tcW w:w="744" w:type="pct"/>
            <w:shd w:val="clear" w:color="auto" w:fill="auto"/>
            <w:vAlign w:val="center"/>
          </w:tcPr>
          <w:p w14:paraId="66060428" w14:textId="77777777" w:rsidR="004502EA" w:rsidRPr="006216B7" w:rsidRDefault="004502EA" w:rsidP="005B07AC">
            <w:pPr>
              <w:spacing w:line="240" w:lineRule="auto"/>
              <w:rPr>
                <w:rFonts w:ascii="Calibri" w:eastAsia="Times New Roman" w:hAnsi="Calibri" w:cs="Calibri"/>
                <w:b/>
                <w:sz w:val="20"/>
                <w:szCs w:val="20"/>
              </w:rPr>
            </w:pPr>
          </w:p>
        </w:tc>
        <w:tc>
          <w:tcPr>
            <w:tcW w:w="1018" w:type="pct"/>
            <w:shd w:val="clear" w:color="auto" w:fill="auto"/>
            <w:vAlign w:val="center"/>
          </w:tcPr>
          <w:p w14:paraId="1D0656FE" w14:textId="77777777" w:rsidR="004502EA" w:rsidRPr="006216B7" w:rsidRDefault="004502EA" w:rsidP="005B07AC">
            <w:pPr>
              <w:spacing w:line="240" w:lineRule="auto"/>
              <w:rPr>
                <w:rFonts w:ascii="Calibri" w:eastAsia="Times New Roman" w:hAnsi="Calibri" w:cs="Calibri"/>
                <w:b/>
                <w:sz w:val="20"/>
                <w:szCs w:val="20"/>
              </w:rPr>
            </w:pPr>
          </w:p>
        </w:tc>
      </w:tr>
      <w:tr w:rsidR="004502EA" w:rsidRPr="006216B7" w14:paraId="7B37605A" w14:textId="77777777" w:rsidTr="0D3211E3">
        <w:trPr>
          <w:trHeight w:val="710"/>
        </w:trPr>
        <w:tc>
          <w:tcPr>
            <w:tcW w:w="296" w:type="pct"/>
            <w:shd w:val="clear" w:color="auto" w:fill="auto"/>
          </w:tcPr>
          <w:p w14:paraId="394798F2" w14:textId="77777777" w:rsidR="004502EA" w:rsidRPr="006216B7" w:rsidRDefault="004502EA" w:rsidP="005B07AC">
            <w:pPr>
              <w:spacing w:line="240" w:lineRule="auto"/>
              <w:rPr>
                <w:rFonts w:ascii="Times New Roman" w:eastAsia="Times New Roman" w:hAnsi="Times New Roman" w:cs="Arial"/>
                <w:b/>
                <w:sz w:val="20"/>
                <w:szCs w:val="20"/>
              </w:rPr>
            </w:pPr>
          </w:p>
        </w:tc>
        <w:tc>
          <w:tcPr>
            <w:tcW w:w="1537" w:type="pct"/>
            <w:shd w:val="clear" w:color="auto" w:fill="auto"/>
            <w:vAlign w:val="center"/>
          </w:tcPr>
          <w:p w14:paraId="3889A505" w14:textId="77777777" w:rsidR="004502EA" w:rsidRPr="006216B7" w:rsidRDefault="004502EA" w:rsidP="005B07AC">
            <w:pPr>
              <w:spacing w:line="240" w:lineRule="auto"/>
              <w:rPr>
                <w:rFonts w:ascii="Calibri" w:eastAsia="Times New Roman" w:hAnsi="Calibri" w:cs="Calibri"/>
                <w:sz w:val="20"/>
                <w:szCs w:val="20"/>
              </w:rPr>
            </w:pPr>
          </w:p>
        </w:tc>
        <w:tc>
          <w:tcPr>
            <w:tcW w:w="664" w:type="pct"/>
            <w:shd w:val="clear" w:color="auto" w:fill="auto"/>
            <w:vAlign w:val="center"/>
          </w:tcPr>
          <w:p w14:paraId="29079D35" w14:textId="77777777" w:rsidR="004502EA" w:rsidRPr="006216B7" w:rsidRDefault="004502EA" w:rsidP="005B07AC">
            <w:pPr>
              <w:spacing w:line="240" w:lineRule="auto"/>
              <w:rPr>
                <w:rFonts w:ascii="Calibri" w:eastAsia="Times New Roman" w:hAnsi="Calibri" w:cs="Calibri"/>
                <w:b/>
                <w:sz w:val="20"/>
                <w:szCs w:val="20"/>
              </w:rPr>
            </w:pPr>
          </w:p>
        </w:tc>
        <w:tc>
          <w:tcPr>
            <w:tcW w:w="741" w:type="pct"/>
            <w:shd w:val="clear" w:color="auto" w:fill="auto"/>
            <w:vAlign w:val="center"/>
          </w:tcPr>
          <w:p w14:paraId="17686DC7" w14:textId="77777777" w:rsidR="004502EA" w:rsidRPr="006216B7" w:rsidRDefault="004502EA" w:rsidP="005B07AC">
            <w:pPr>
              <w:spacing w:line="240" w:lineRule="auto"/>
              <w:rPr>
                <w:rFonts w:ascii="Calibri" w:eastAsia="Times New Roman" w:hAnsi="Calibri" w:cs="Calibri"/>
                <w:b/>
                <w:sz w:val="20"/>
                <w:szCs w:val="20"/>
              </w:rPr>
            </w:pPr>
          </w:p>
        </w:tc>
        <w:tc>
          <w:tcPr>
            <w:tcW w:w="744" w:type="pct"/>
            <w:shd w:val="clear" w:color="auto" w:fill="auto"/>
            <w:vAlign w:val="center"/>
          </w:tcPr>
          <w:p w14:paraId="53BD644D" w14:textId="77777777" w:rsidR="004502EA" w:rsidRPr="006216B7" w:rsidRDefault="004502EA" w:rsidP="005B07AC">
            <w:pPr>
              <w:spacing w:line="240" w:lineRule="auto"/>
              <w:rPr>
                <w:rFonts w:ascii="Calibri" w:eastAsia="Times New Roman" w:hAnsi="Calibri" w:cs="Calibri"/>
                <w:b/>
                <w:sz w:val="20"/>
                <w:szCs w:val="20"/>
              </w:rPr>
            </w:pPr>
          </w:p>
        </w:tc>
        <w:tc>
          <w:tcPr>
            <w:tcW w:w="1018" w:type="pct"/>
            <w:shd w:val="clear" w:color="auto" w:fill="auto"/>
            <w:vAlign w:val="center"/>
          </w:tcPr>
          <w:p w14:paraId="1A3FAC43" w14:textId="77777777" w:rsidR="004502EA" w:rsidRPr="006216B7" w:rsidRDefault="004502EA" w:rsidP="005B07AC">
            <w:pPr>
              <w:spacing w:line="240" w:lineRule="auto"/>
              <w:rPr>
                <w:rFonts w:ascii="Calibri" w:eastAsia="Times New Roman" w:hAnsi="Calibri" w:cs="Calibri"/>
                <w:b/>
                <w:sz w:val="20"/>
                <w:szCs w:val="20"/>
              </w:rPr>
            </w:pPr>
          </w:p>
        </w:tc>
      </w:tr>
    </w:tbl>
    <w:p w14:paraId="46CCE917" w14:textId="77777777" w:rsidR="004502EA" w:rsidRDefault="004502EA" w:rsidP="000F0686">
      <w:pPr>
        <w:ind w:left="720"/>
        <w:rPr>
          <w:rFonts w:ascii="Calibri" w:hAnsi="Calibri"/>
          <w:sz w:val="20"/>
          <w:szCs w:val="20"/>
        </w:rPr>
      </w:pPr>
    </w:p>
    <w:sectPr w:rsidR="004502EA" w:rsidSect="00FD03B1">
      <w:pgSz w:w="12240" w:h="15840"/>
      <w:pgMar w:top="720" w:right="720" w:bottom="720" w:left="720" w:header="720" w:footer="720" w:gutter="0"/>
      <w:pgBorders w:offsetFrom="page">
        <w:left w:val="thickThinMediumGap" w:sz="24" w:space="24" w:color="F74902"/>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ander,Shawn C" w:date="2019-08-02T11:27:00Z" w:initials="LC">
    <w:p w14:paraId="4B43B26E" w14:textId="02494578" w:rsidR="003C1BC1" w:rsidRDefault="003C1BC1">
      <w:pPr>
        <w:pStyle w:val="CommentText"/>
      </w:pPr>
      <w:r>
        <w:rPr>
          <w:rStyle w:val="CommentReference"/>
        </w:rPr>
        <w:annotationRef/>
      </w:r>
      <w:r>
        <w:t xml:space="preserve">These two checklists shouldn’t be listed here… </w:t>
      </w:r>
      <w:r w:rsidR="00DE3383">
        <w:t>The vehicle checklist should be assigned to one person per department and called out in the Tropical Weather Appendix.  The lab checklist should be assigned to labs… not admin offices… and called out in the appendix.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3B2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3B26E" w16cid:durableId="20EE9C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Times New Roman">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imes New Roman,Arial">
    <w:altName w:val="Times New Roman"/>
    <w:panose1 w:val="0000050000000002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7BE"/>
    <w:multiLevelType w:val="hybridMultilevel"/>
    <w:tmpl w:val="BE2C4B86"/>
    <w:lvl w:ilvl="0" w:tplc="AD2854A4">
      <w:start w:val="1"/>
      <w:numFmt w:val="upperRoman"/>
      <w:pStyle w:val="Heading1"/>
      <w:lvlText w:val="%1."/>
      <w:lvlJc w:val="right"/>
      <w:pPr>
        <w:ind w:left="1080" w:hanging="720"/>
      </w:pPr>
      <w:rPr>
        <w:rFonts w:hint="default"/>
      </w:rPr>
    </w:lvl>
    <w:lvl w:ilvl="1" w:tplc="7EC0F9F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DFB"/>
    <w:multiLevelType w:val="hybridMultilevel"/>
    <w:tmpl w:val="93220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46E77"/>
    <w:multiLevelType w:val="hybridMultilevel"/>
    <w:tmpl w:val="0F1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A0250"/>
    <w:multiLevelType w:val="hybridMultilevel"/>
    <w:tmpl w:val="D410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846E7"/>
    <w:multiLevelType w:val="hybridMultilevel"/>
    <w:tmpl w:val="A83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D5088"/>
    <w:multiLevelType w:val="hybridMultilevel"/>
    <w:tmpl w:val="89CCD328"/>
    <w:lvl w:ilvl="0" w:tplc="7EC0F9F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D22DCC"/>
    <w:multiLevelType w:val="hybridMultilevel"/>
    <w:tmpl w:val="43C0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nder,Shawn C">
    <w15:presenceInfo w15:providerId="AD" w15:userId="S::scl@ufl.edu::b0574c39-835f-4819-867f-136625bde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EA"/>
    <w:rsid w:val="000035BC"/>
    <w:rsid w:val="000367E6"/>
    <w:rsid w:val="000837C8"/>
    <w:rsid w:val="000D5947"/>
    <w:rsid w:val="000F0686"/>
    <w:rsid w:val="00123E95"/>
    <w:rsid w:val="00172242"/>
    <w:rsid w:val="00172418"/>
    <w:rsid w:val="00190AAC"/>
    <w:rsid w:val="00311FEB"/>
    <w:rsid w:val="00331136"/>
    <w:rsid w:val="003C1BC1"/>
    <w:rsid w:val="00406498"/>
    <w:rsid w:val="004502EA"/>
    <w:rsid w:val="005A1188"/>
    <w:rsid w:val="005B07AC"/>
    <w:rsid w:val="005D0F05"/>
    <w:rsid w:val="00601F07"/>
    <w:rsid w:val="0070440C"/>
    <w:rsid w:val="00851003"/>
    <w:rsid w:val="00931CE5"/>
    <w:rsid w:val="00941A7A"/>
    <w:rsid w:val="009738A8"/>
    <w:rsid w:val="009E64EB"/>
    <w:rsid w:val="00C47997"/>
    <w:rsid w:val="00C710E3"/>
    <w:rsid w:val="00D626FD"/>
    <w:rsid w:val="00D66D56"/>
    <w:rsid w:val="00DE3383"/>
    <w:rsid w:val="00E1776B"/>
    <w:rsid w:val="00E87DBB"/>
    <w:rsid w:val="00F422FE"/>
    <w:rsid w:val="00FD03B1"/>
    <w:rsid w:val="0D3211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26D2"/>
  <w15:chartTrackingRefBased/>
  <w15:docId w15:val="{BE4EBC7C-923D-4700-A768-1F428334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EA"/>
    <w:pPr>
      <w:spacing w:line="276" w:lineRule="auto"/>
    </w:pPr>
    <w:rPr>
      <w:rFonts w:ascii="Cambria" w:hAnsi="Cambria"/>
      <w:sz w:val="22"/>
      <w:szCs w:val="22"/>
      <w:lang w:eastAsia="en-US"/>
    </w:rPr>
  </w:style>
  <w:style w:type="paragraph" w:styleId="Heading1">
    <w:name w:val="heading 1"/>
    <w:basedOn w:val="Normal"/>
    <w:next w:val="Normal"/>
    <w:link w:val="Heading1Char"/>
    <w:uiPriority w:val="9"/>
    <w:qFormat/>
    <w:rsid w:val="004502EA"/>
    <w:pPr>
      <w:keepNext/>
      <w:keepLines/>
      <w:numPr>
        <w:numId w:val="1"/>
      </w:numPr>
      <w:outlineLvl w:val="0"/>
    </w:pPr>
    <w:rPr>
      <w:rFonts w:eastAsia="Times New Roman"/>
      <w:b/>
      <w:bCs/>
      <w:sz w:val="28"/>
      <w:szCs w:val="28"/>
    </w:rPr>
  </w:style>
  <w:style w:type="paragraph" w:styleId="Heading2">
    <w:name w:val="heading 2"/>
    <w:basedOn w:val="Normal"/>
    <w:next w:val="Normal"/>
    <w:link w:val="Heading2Char"/>
    <w:uiPriority w:val="9"/>
    <w:qFormat/>
    <w:rsid w:val="004502EA"/>
    <w:pPr>
      <w:keepNext/>
      <w:keepLines/>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02EA"/>
    <w:rPr>
      <w:rFonts w:ascii="Cambria" w:eastAsia="Times New Roman" w:hAnsi="Cambria" w:cs="Times New Roman"/>
      <w:b/>
      <w:bCs/>
      <w:sz w:val="28"/>
      <w:szCs w:val="28"/>
    </w:rPr>
  </w:style>
  <w:style w:type="character" w:customStyle="1" w:styleId="Heading2Char">
    <w:name w:val="Heading 2 Char"/>
    <w:link w:val="Heading2"/>
    <w:uiPriority w:val="9"/>
    <w:rsid w:val="004502EA"/>
    <w:rPr>
      <w:rFonts w:ascii="Cambria" w:eastAsia="Times New Roman" w:hAnsi="Cambria" w:cs="Times New Roman"/>
      <w:b/>
      <w:bCs/>
      <w:color w:val="4F81BD"/>
      <w:sz w:val="26"/>
      <w:szCs w:val="26"/>
    </w:rPr>
  </w:style>
  <w:style w:type="paragraph" w:styleId="ListParagraph">
    <w:name w:val="List Paragraph"/>
    <w:basedOn w:val="Normal"/>
    <w:uiPriority w:val="34"/>
    <w:qFormat/>
    <w:rsid w:val="004502EA"/>
    <w:pPr>
      <w:spacing w:before="60"/>
      <w:ind w:left="720"/>
      <w:contextualSpacing/>
      <w:jc w:val="both"/>
    </w:pPr>
    <w:rPr>
      <w:rFonts w:eastAsia="Times New Roman"/>
    </w:rPr>
  </w:style>
  <w:style w:type="character" w:styleId="Hyperlink">
    <w:name w:val="Hyperlink"/>
    <w:uiPriority w:val="99"/>
    <w:unhideWhenUsed/>
    <w:rsid w:val="004502EA"/>
    <w:rPr>
      <w:color w:val="0000FF"/>
      <w:u w:val="single"/>
    </w:rPr>
  </w:style>
  <w:style w:type="table" w:styleId="TableGrid">
    <w:name w:val="Table Grid"/>
    <w:basedOn w:val="TableNormal"/>
    <w:uiPriority w:val="39"/>
    <w:rsid w:val="0012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06498"/>
    <w:rPr>
      <w:color w:val="954F72"/>
      <w:u w:val="single"/>
    </w:rPr>
  </w:style>
  <w:style w:type="character" w:styleId="UnresolvedMention">
    <w:name w:val="Unresolved Mention"/>
    <w:basedOn w:val="DefaultParagraphFont"/>
    <w:uiPriority w:val="99"/>
    <w:semiHidden/>
    <w:unhideWhenUsed/>
    <w:rsid w:val="009E64EB"/>
    <w:rPr>
      <w:color w:val="605E5C"/>
      <w:shd w:val="clear" w:color="auto" w:fill="E1DFDD"/>
    </w:rPr>
  </w:style>
  <w:style w:type="character" w:styleId="CommentReference">
    <w:name w:val="annotation reference"/>
    <w:basedOn w:val="DefaultParagraphFont"/>
    <w:uiPriority w:val="99"/>
    <w:semiHidden/>
    <w:unhideWhenUsed/>
    <w:rsid w:val="003C1BC1"/>
    <w:rPr>
      <w:sz w:val="16"/>
      <w:szCs w:val="16"/>
    </w:rPr>
  </w:style>
  <w:style w:type="paragraph" w:styleId="CommentText">
    <w:name w:val="annotation text"/>
    <w:basedOn w:val="Normal"/>
    <w:link w:val="CommentTextChar"/>
    <w:uiPriority w:val="99"/>
    <w:semiHidden/>
    <w:unhideWhenUsed/>
    <w:rsid w:val="003C1BC1"/>
    <w:pPr>
      <w:spacing w:line="240" w:lineRule="auto"/>
    </w:pPr>
    <w:rPr>
      <w:sz w:val="20"/>
      <w:szCs w:val="20"/>
    </w:rPr>
  </w:style>
  <w:style w:type="character" w:customStyle="1" w:styleId="CommentTextChar">
    <w:name w:val="Comment Text Char"/>
    <w:basedOn w:val="DefaultParagraphFont"/>
    <w:link w:val="CommentText"/>
    <w:uiPriority w:val="99"/>
    <w:semiHidden/>
    <w:rsid w:val="003C1BC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C1BC1"/>
    <w:rPr>
      <w:b/>
      <w:bCs/>
    </w:rPr>
  </w:style>
  <w:style w:type="character" w:customStyle="1" w:styleId="CommentSubjectChar">
    <w:name w:val="Comment Subject Char"/>
    <w:basedOn w:val="CommentTextChar"/>
    <w:link w:val="CommentSubject"/>
    <w:uiPriority w:val="99"/>
    <w:semiHidden/>
    <w:rsid w:val="003C1BC1"/>
    <w:rPr>
      <w:rFonts w:ascii="Cambria" w:hAnsi="Cambria"/>
      <w:b/>
      <w:bCs/>
      <w:lang w:eastAsia="en-US"/>
    </w:rPr>
  </w:style>
  <w:style w:type="paragraph" w:styleId="BalloonText">
    <w:name w:val="Balloon Text"/>
    <w:basedOn w:val="Normal"/>
    <w:link w:val="BalloonTextChar"/>
    <w:uiPriority w:val="99"/>
    <w:semiHidden/>
    <w:unhideWhenUsed/>
    <w:rsid w:val="003C1BC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1BC1"/>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608213076CD42BCF3060DF967E12A" ma:contentTypeVersion="4" ma:contentTypeDescription="Create a new document." ma:contentTypeScope="" ma:versionID="83d4dcef02b2248c01efa5be2e3b6a56">
  <xsd:schema xmlns:xsd="http://www.w3.org/2001/XMLSchema" xmlns:xs="http://www.w3.org/2001/XMLSchema" xmlns:p="http://schemas.microsoft.com/office/2006/metadata/properties" xmlns:ns2="32c874fa-5265-4444-abb8-800acfe95df9" targetNamespace="http://schemas.microsoft.com/office/2006/metadata/properties" ma:root="true" ma:fieldsID="38d2fde48fdfafc5fc15bd3d578bba89" ns2:_="">
    <xsd:import namespace="32c874fa-5265-4444-abb8-800acfe95d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874fa-5265-4444-abb8-800acfe95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8F971-AB09-407E-BC1C-0E7A985916B3}">
  <ds:schemaRefs>
    <ds:schemaRef ds:uri="http://schemas.microsoft.com/office/2006/metadata/longProperties"/>
  </ds:schemaRefs>
</ds:datastoreItem>
</file>

<file path=customXml/itemProps2.xml><?xml version="1.0" encoding="utf-8"?>
<ds:datastoreItem xmlns:ds="http://schemas.openxmlformats.org/officeDocument/2006/customXml" ds:itemID="{C3A98BD4-4D00-4A3F-8E4C-654BD09B6291}"/>
</file>

<file path=customXml/itemProps3.xml><?xml version="1.0" encoding="utf-8"?>
<ds:datastoreItem xmlns:ds="http://schemas.openxmlformats.org/officeDocument/2006/customXml" ds:itemID="{8F4A3422-F84F-4759-A88B-951F8002D257}">
  <ds:schemaRefs>
    <ds:schemaRef ds:uri="http://schemas.microsoft.com/sharepoint/v3/contenttype/forms"/>
  </ds:schemaRefs>
</ds:datastoreItem>
</file>

<file path=customXml/itemProps4.xml><?xml version="1.0" encoding="utf-8"?>
<ds:datastoreItem xmlns:ds="http://schemas.openxmlformats.org/officeDocument/2006/customXml" ds:itemID="{0940837A-F847-4063-8441-F98B26BA9E35}">
  <ds:schemaRefs>
    <ds:schemaRef ds:uri="0414b9db-2217-455b-85ee-328186d67be5"/>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b61ba54a-7e61-4241-9dc6-f4f10394ac4a"/>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451</Words>
  <Characters>2572</Characters>
  <Application>Microsoft Office Word</Application>
  <DocSecurity>0</DocSecurity>
  <Lines>21</Lines>
  <Paragraphs>6</Paragraphs>
  <ScaleCrop>false</ScaleCrop>
  <Company>Customer Technology Services</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Grieb,Hal R</dc:creator>
  <cp:keywords/>
  <dc:description/>
  <cp:lastModifiedBy>Lander,Shawn C</cp:lastModifiedBy>
  <cp:revision>11</cp:revision>
  <dcterms:created xsi:type="dcterms:W3CDTF">2018-05-22T18:25:00Z</dcterms:created>
  <dcterms:modified xsi:type="dcterms:W3CDTF">2019-08-02T15:28:00Z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0x0101002F3608213076CD42BCF3060DF967E12A</vt:lpwstr>
  </property>
  <property fmtid="{D5CDD505-2E9C-101B-9397-08002B2CF9AE}" pid="3" name="_dlc_DocIdItemGuid">
    <vt:lpwstr>1e9bbac8-ad42-4247-8709-26e3f8ac15f3</vt:lpwstr>
  </property>
  <property fmtid="{D5CDD505-2E9C-101B-9397-08002B2CF9AE}" pid="4" name="Plan Type">
    <vt:lpwstr>Base Plan</vt:lpwstr>
  </property>
  <property fmtid="{D5CDD505-2E9C-101B-9397-08002B2CF9AE}" pid="5" name="_dlc_DocId">
    <vt:lpwstr>YHPNJRPC7K3U-1487607101-5</vt:lpwstr>
  </property>
  <property fmtid="{D5CDD505-2E9C-101B-9397-08002B2CF9AE}" pid="6" name="_dlc_DocIdUrl">
    <vt:lpwstr>https://uflorida.sharepoint.com/sites/eng/admin/research/_layouts/15/DocIdRedir.aspx?ID=YHPNJRPC7K3U-1487607101-5, YHPNJRPC7K3U-1487607101-5</vt:lpwstr>
  </property>
</Properties>
</file>