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EC79" w14:textId="68647207" w:rsidR="004502EA" w:rsidRPr="009B43D1" w:rsidRDefault="004502EA" w:rsidP="004502EA">
      <w:pPr>
        <w:pStyle w:val="Heading2"/>
      </w:pPr>
      <w:bookmarkStart w:id="0" w:name="_Toc364233355"/>
      <w:bookmarkStart w:id="1" w:name="_Toc433697646"/>
      <w:r w:rsidRPr="009B43D1">
        <w:t xml:space="preserve">Attachment </w:t>
      </w:r>
      <w:r w:rsidR="00D82B18">
        <w:t xml:space="preserve">H </w:t>
      </w:r>
      <w:r w:rsidRPr="009B43D1">
        <w:t xml:space="preserve">– </w:t>
      </w:r>
      <w:bookmarkEnd w:id="0"/>
      <w:bookmarkEnd w:id="1"/>
      <w:r w:rsidR="00D82B18">
        <w:t>Information Technology Areas</w:t>
      </w:r>
      <w:r w:rsidR="00770DE1">
        <w:t xml:space="preserve"> Closure Checklist</w:t>
      </w:r>
      <w:r w:rsidR="00FF2F9C">
        <w:t>s</w:t>
      </w:r>
    </w:p>
    <w:p w14:paraId="462A8E49" w14:textId="53686E83" w:rsidR="004502EA" w:rsidRPr="006216B7" w:rsidRDefault="00C01CBD" w:rsidP="004502EA">
      <w:pPr>
        <w:rPr>
          <w:b/>
        </w:rPr>
      </w:pPr>
      <w:r>
        <w:t>Th</w:t>
      </w:r>
      <w:r w:rsidR="00873E05">
        <w:t>ese</w:t>
      </w:r>
      <w:r>
        <w:t xml:space="preserve"> checklist</w:t>
      </w:r>
      <w:r w:rsidR="00873E05">
        <w:t>s</w:t>
      </w:r>
      <w:r>
        <w:t xml:space="preserve"> </w:t>
      </w:r>
      <w:r w:rsidR="00873E05">
        <w:t>are</w:t>
      </w:r>
      <w:r>
        <w:t xml:space="preserve"> intended to provide </w:t>
      </w:r>
      <w:r w:rsidR="008A047A">
        <w:t>HWCOE</w:t>
      </w:r>
      <w:r>
        <w:t xml:space="preserve"> Information Security Managers (ISMs) and primary IT workers a list of tasks to consider prior to a University shutdown. General instructions to users, i.e. turning off and unplugging equipment, </w:t>
      </w:r>
      <w:r w:rsidR="00E86B5F">
        <w:t>are</w:t>
      </w:r>
      <w:r>
        <w:t xml:space="preserve"> included in </w:t>
      </w:r>
      <w:r>
        <w:rPr>
          <w:i/>
        </w:rPr>
        <w:t>A</w:t>
      </w:r>
      <w:r w:rsidR="00873E05">
        <w:rPr>
          <w:i/>
        </w:rPr>
        <w:t xml:space="preserve">ttachment </w:t>
      </w:r>
      <w:r w:rsidR="00FF2F9C">
        <w:rPr>
          <w:i/>
        </w:rPr>
        <w:t>B - A</w:t>
      </w:r>
      <w:r>
        <w:rPr>
          <w:i/>
        </w:rPr>
        <w:t>dministrative and Office Areas Checklist</w:t>
      </w:r>
      <w:r>
        <w:t xml:space="preserve">. </w:t>
      </w:r>
      <w:r w:rsidR="00F42610">
        <w:t xml:space="preserve"> </w:t>
      </w:r>
      <w:r w:rsidR="004502EA" w:rsidRPr="006216B7">
        <w:t xml:space="preserve"> </w:t>
      </w:r>
      <w:r w:rsidR="004502EA" w:rsidRPr="006216B7">
        <w:rPr>
          <w:b/>
        </w:rPr>
        <w:t>T</w:t>
      </w:r>
      <w:r w:rsidR="00E86B5F">
        <w:rPr>
          <w:b/>
        </w:rPr>
        <w:t>his</w:t>
      </w:r>
      <w:r w:rsidR="004502EA" w:rsidRPr="006216B7">
        <w:rPr>
          <w:b/>
        </w:rPr>
        <w:t xml:space="preserve"> checklist should be completed as part of Appendix B – Tropical Weather Plan</w:t>
      </w:r>
      <w:r w:rsidR="00E86B5F">
        <w:rPr>
          <w:b/>
        </w:rPr>
        <w:t xml:space="preserve"> and includes two parts:</w:t>
      </w:r>
      <w:r w:rsidR="008A047A">
        <w:rPr>
          <w:b/>
        </w:rPr>
        <w:t xml:space="preserve"> Annual Review Checklist and Shutdown Checklist</w:t>
      </w:r>
    </w:p>
    <w:p w14:paraId="69A1666D" w14:textId="77777777" w:rsidR="008A047A" w:rsidRDefault="008A047A" w:rsidP="008A047A">
      <w:pPr>
        <w:pStyle w:val="Heading3"/>
      </w:pPr>
      <w:r>
        <w:t xml:space="preserve">Annual Review Checklist: </w:t>
      </w:r>
    </w:p>
    <w:p w14:paraId="6FE3509E" w14:textId="77777777" w:rsidR="008A047A" w:rsidRDefault="008A047A" w:rsidP="008A047A">
      <w:r>
        <w:t>At least once a year the following items should be completed to insure IT staff are able to shut down operations in a</w:t>
      </w:r>
      <w:r w:rsidR="00B4108D">
        <w:t xml:space="preserve">n </w:t>
      </w:r>
      <w:r>
        <w:t>efficient manner without impacting critical IT resources</w:t>
      </w:r>
      <w:r w:rsidR="00B4108D">
        <w:t xml:space="preserve"> when a UF shutdown is announced</w:t>
      </w:r>
      <w:r>
        <w:t xml:space="preserve">. </w:t>
      </w:r>
      <w:r w:rsidR="00B4108D">
        <w:t>These actions also</w:t>
      </w:r>
      <w:r w:rsidR="00D62238">
        <w:t xml:space="preserve"> protect unit information systems and</w:t>
      </w:r>
      <w:r w:rsidR="00B4108D">
        <w:t xml:space="preserve"> insure timely recovery after a shutdown:</w:t>
      </w:r>
    </w:p>
    <w:p w14:paraId="7E98A240" w14:textId="77777777" w:rsidR="00953623" w:rsidRDefault="00953623" w:rsidP="008A04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139"/>
        <w:gridCol w:w="1335"/>
        <w:gridCol w:w="1318"/>
        <w:gridCol w:w="2389"/>
      </w:tblGrid>
      <w:tr w:rsidR="008A047A" w:rsidRPr="006216B7" w14:paraId="0B6D2EAB" w14:textId="77777777" w:rsidTr="008A047A">
        <w:trPr>
          <w:trHeight w:val="323"/>
          <w:tblHeader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DF9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 w:rsidRPr="006216B7">
              <w:rPr>
                <w:rFonts w:ascii="Wingdings 2" w:eastAsia="Times New Roman" w:hAnsi="Wingdings 2" w:cs="Arial"/>
                <w:b/>
                <w:sz w:val="36"/>
                <w:szCs w:val="36"/>
              </w:rPr>
              <w:t>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D42E283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Action/Task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9F89940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Staff Responsible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11C0809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Notes</w:t>
            </w:r>
          </w:p>
        </w:tc>
      </w:tr>
      <w:tr w:rsidR="008A047A" w:rsidRPr="006216B7" w14:paraId="57CDF6B3" w14:textId="77777777" w:rsidTr="008A047A">
        <w:trPr>
          <w:trHeight w:val="350"/>
          <w:tblHeader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116" w14:textId="77777777" w:rsidR="008A047A" w:rsidRPr="006216B7" w:rsidRDefault="008A047A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7753" w14:textId="77777777" w:rsidR="008A047A" w:rsidRPr="006216B7" w:rsidRDefault="008A047A" w:rsidP="007A74F9">
            <w:pPr>
              <w:rPr>
                <w:rFonts w:eastAsia="Times New Roman" w:cs="Arial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5E6838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Primary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DD1079C" w14:textId="77777777" w:rsidR="008A047A" w:rsidRPr="006216B7" w:rsidRDefault="008A047A" w:rsidP="007A74F9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Alternate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84A" w14:textId="77777777" w:rsidR="008A047A" w:rsidRPr="006216B7" w:rsidRDefault="008A047A" w:rsidP="007A74F9">
            <w:pPr>
              <w:rPr>
                <w:rFonts w:eastAsia="Times New Roman" w:cs="Arial"/>
                <w:b/>
              </w:rPr>
            </w:pPr>
          </w:p>
        </w:tc>
      </w:tr>
      <w:tr w:rsidR="008A047A" w:rsidRPr="006216B7" w14:paraId="41F35E24" w14:textId="77777777" w:rsidTr="008A047A">
        <w:trPr>
          <w:trHeight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0660" w14:textId="77777777" w:rsidR="008A047A" w:rsidRPr="006216B7" w:rsidRDefault="008A047A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4014" w14:textId="6A389854" w:rsidR="008A047A" w:rsidRPr="006216B7" w:rsidRDefault="00FF381C" w:rsidP="00FF381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Review and Update </w:t>
            </w:r>
            <w:r w:rsidRPr="00FF381C">
              <w:rPr>
                <w:rFonts w:eastAsia="Arial Unicode MS" w:cs="Arial"/>
                <w:b/>
                <w:sz w:val="20"/>
                <w:szCs w:val="20"/>
              </w:rPr>
              <w:t xml:space="preserve">Attachment </w:t>
            </w:r>
            <w:r w:rsidR="009C26FD">
              <w:rPr>
                <w:rFonts w:eastAsia="Arial Unicode MS" w:cs="Arial"/>
                <w:b/>
                <w:sz w:val="20"/>
                <w:szCs w:val="20"/>
              </w:rPr>
              <w:t xml:space="preserve">I </w:t>
            </w:r>
            <w:r w:rsidRPr="00FF381C">
              <w:rPr>
                <w:rFonts w:eastAsia="Arial Unicode MS" w:cs="Arial"/>
                <w:b/>
                <w:sz w:val="20"/>
                <w:szCs w:val="20"/>
              </w:rPr>
              <w:t>- C</w:t>
            </w:r>
            <w:r w:rsidR="008A047A" w:rsidRPr="00FF381C">
              <w:rPr>
                <w:rFonts w:eastAsia="Arial Unicode MS" w:cs="Arial"/>
                <w:b/>
                <w:sz w:val="20"/>
                <w:szCs w:val="20"/>
              </w:rPr>
              <w:t xml:space="preserve">ritical IT </w:t>
            </w:r>
            <w:r w:rsidRPr="00FF381C">
              <w:rPr>
                <w:rFonts w:eastAsia="Arial Unicode MS" w:cs="Arial"/>
                <w:b/>
                <w:sz w:val="20"/>
                <w:szCs w:val="20"/>
              </w:rPr>
              <w:t>R</w:t>
            </w:r>
            <w:r w:rsidR="008A047A" w:rsidRPr="00FF381C">
              <w:rPr>
                <w:rFonts w:eastAsia="Arial Unicode MS" w:cs="Arial"/>
                <w:b/>
                <w:sz w:val="20"/>
                <w:szCs w:val="20"/>
              </w:rPr>
              <w:t>esources</w:t>
            </w:r>
            <w:r w:rsidRPr="00FF381C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r w:rsidR="009C26FD">
              <w:rPr>
                <w:rFonts w:eastAsia="Arial Unicode MS" w:cs="Arial"/>
                <w:b/>
                <w:sz w:val="20"/>
                <w:szCs w:val="20"/>
              </w:rPr>
              <w:t>Inventory</w:t>
            </w:r>
            <w:r w:rsidR="008A047A">
              <w:rPr>
                <w:rFonts w:eastAsia="Arial Unicode MS" w:cs="Arial"/>
                <w:sz w:val="20"/>
                <w:szCs w:val="20"/>
              </w:rPr>
              <w:t xml:space="preserve"> (critical IT resources are those that must remain functional due to safety, cost, or other relevant factors)</w:t>
            </w:r>
            <w:bookmarkStart w:id="2" w:name="_GoBack"/>
            <w:bookmarkEnd w:id="2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29BD" w14:textId="77777777" w:rsidR="008A047A" w:rsidRPr="006216B7" w:rsidRDefault="008A047A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5C5" w14:textId="77777777" w:rsidR="008A047A" w:rsidRPr="006216B7" w:rsidRDefault="008A047A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05CD" w14:textId="77777777" w:rsidR="008A047A" w:rsidRPr="006216B7" w:rsidRDefault="008A047A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B4108D" w:rsidRPr="006216B7" w14:paraId="0946B025" w14:textId="77777777" w:rsidTr="008A047A">
        <w:trPr>
          <w:trHeight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EA9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C3B" w14:textId="77777777" w:rsidR="00B4108D" w:rsidRDefault="002B6A20" w:rsidP="00D6223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Verify</w:t>
            </w:r>
            <w:r w:rsidR="00953623">
              <w:rPr>
                <w:rFonts w:eastAsia="Arial Unicode MS" w:cs="Arial"/>
                <w:sz w:val="20"/>
                <w:szCs w:val="20"/>
              </w:rPr>
              <w:t xml:space="preserve"> the integrity and operation of unit</w:t>
            </w:r>
            <w:r>
              <w:rPr>
                <w:rFonts w:eastAsia="Arial Unicode MS" w:cs="Arial"/>
                <w:sz w:val="20"/>
                <w:szCs w:val="20"/>
              </w:rPr>
              <w:t xml:space="preserve"> backups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0E2B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68D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DAB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B4108D" w:rsidRPr="006216B7" w14:paraId="5F77DF84" w14:textId="77777777" w:rsidTr="008A047A">
        <w:trPr>
          <w:trHeight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3B34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9D5" w14:textId="77777777" w:rsidR="00B4108D" w:rsidRDefault="002B6A20" w:rsidP="007A74F9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Test UPS batteries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B89B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DF43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D5B9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B4108D" w:rsidRPr="006216B7" w14:paraId="12D9F319" w14:textId="77777777" w:rsidTr="008A047A">
        <w:trPr>
          <w:trHeight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A578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B042" w14:textId="77777777" w:rsidR="00B4108D" w:rsidRDefault="004B121C" w:rsidP="00D6223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Test environmental monitors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847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DD63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17C0" w14:textId="77777777" w:rsidR="00B4108D" w:rsidRPr="006216B7" w:rsidRDefault="00B4108D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B121C" w:rsidRPr="006216B7" w14:paraId="0F0F218D" w14:textId="77777777" w:rsidTr="008A047A">
        <w:trPr>
          <w:trHeight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D176" w14:textId="77777777" w:rsidR="004B121C" w:rsidRPr="006216B7" w:rsidRDefault="004B121C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B5D" w14:textId="77777777" w:rsidR="004B121C" w:rsidRDefault="00D62238" w:rsidP="00D6223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Test network monitoring systems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446" w14:textId="77777777" w:rsidR="004B121C" w:rsidRPr="006216B7" w:rsidRDefault="004B121C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8413" w14:textId="77777777" w:rsidR="004B121C" w:rsidRPr="006216B7" w:rsidRDefault="004B121C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B427" w14:textId="77777777" w:rsidR="004B121C" w:rsidRPr="006216B7" w:rsidRDefault="004B121C" w:rsidP="007A74F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286C87B" w14:textId="77777777" w:rsidR="00953623" w:rsidRDefault="00953623" w:rsidP="00953623">
      <w:pPr>
        <w:pStyle w:val="Heading3"/>
      </w:pPr>
      <w:r>
        <w:t>IT Shutdown Checklist:</w:t>
      </w:r>
    </w:p>
    <w:p w14:paraId="17C6019C" w14:textId="77777777" w:rsidR="00931CE5" w:rsidRPr="00953623" w:rsidRDefault="004502EA" w:rsidP="00953623">
      <w:pPr>
        <w:rPr>
          <w:b/>
        </w:rPr>
      </w:pPr>
      <w:r w:rsidRPr="006216B7">
        <w:t>When impacts from tropical weather are possible, consider necessary preparation</w:t>
      </w:r>
      <w:r w:rsidR="00953623">
        <w:t>s to suspend ongoing research</w:t>
      </w:r>
      <w:r w:rsidRPr="006216B7">
        <w:t xml:space="preserve"> involving </w:t>
      </w:r>
      <w:r w:rsidR="00953623">
        <w:t>unit IT systems</w:t>
      </w:r>
      <w:r w:rsidRPr="006216B7">
        <w:t xml:space="preserve">. When UF suspends normal operations, postpone operations, secure equipment and complete the checklist. </w:t>
      </w:r>
      <w:r w:rsidRPr="006216B7">
        <w:rPr>
          <w:b/>
        </w:rPr>
        <w:t xml:space="preserve">Note, personnel should not stay in </w:t>
      </w:r>
      <w:r w:rsidR="00953623">
        <w:rPr>
          <w:b/>
        </w:rPr>
        <w:t>HWCOE facilities</w:t>
      </w:r>
      <w:r w:rsidRPr="006216B7">
        <w:rPr>
          <w:b/>
        </w:rPr>
        <w:t xml:space="preserve"> during a storm if UF has suspended normal operations.</w:t>
      </w:r>
    </w:p>
    <w:p w14:paraId="223878DE" w14:textId="77777777" w:rsidR="004502EA" w:rsidRDefault="004502EA" w:rsidP="00931CE5">
      <w:pPr>
        <w:spacing w:after="160" w:line="259" w:lineRule="auto"/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459"/>
        <w:gridCol w:w="1584"/>
        <w:gridCol w:w="1584"/>
        <w:gridCol w:w="2341"/>
      </w:tblGrid>
      <w:tr w:rsidR="00D62238" w:rsidRPr="006216B7" w14:paraId="2DAD88B3" w14:textId="77777777" w:rsidTr="00516E4E">
        <w:trPr>
          <w:trHeight w:val="323"/>
          <w:tblHeader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327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 w:rsidRPr="006216B7">
              <w:rPr>
                <w:rFonts w:ascii="Wingdings 2" w:eastAsia="Times New Roman" w:hAnsi="Wingdings 2" w:cs="Arial"/>
                <w:b/>
                <w:sz w:val="36"/>
                <w:szCs w:val="36"/>
              </w:rPr>
              <w:t>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5D0C72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Action/Task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7B36639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Staff Responsible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8659FBB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Notes</w:t>
            </w:r>
          </w:p>
        </w:tc>
      </w:tr>
      <w:tr w:rsidR="00D62238" w:rsidRPr="006216B7" w14:paraId="41FDE809" w14:textId="77777777" w:rsidTr="00516E4E">
        <w:trPr>
          <w:trHeight w:val="350"/>
          <w:tblHeader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49B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662" w14:textId="77777777" w:rsidR="00D62238" w:rsidRPr="006216B7" w:rsidRDefault="00D62238" w:rsidP="005B07AC">
            <w:pPr>
              <w:rPr>
                <w:rFonts w:eastAsia="Times New Roman" w:cs="Arial"/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73112FA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Primary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B1F7CF" w14:textId="77777777" w:rsidR="00D62238" w:rsidRPr="006216B7" w:rsidRDefault="00D62238" w:rsidP="005B07AC">
            <w:pPr>
              <w:jc w:val="center"/>
              <w:rPr>
                <w:rFonts w:eastAsia="Times New Roman" w:cs="Arial"/>
                <w:b/>
              </w:rPr>
            </w:pPr>
            <w:r w:rsidRPr="006216B7">
              <w:rPr>
                <w:rFonts w:eastAsia="Times New Roman"/>
                <w:b/>
              </w:rPr>
              <w:t>Alternate</w:t>
            </w: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84C3" w14:textId="77777777" w:rsidR="00D62238" w:rsidRPr="006216B7" w:rsidRDefault="00D62238" w:rsidP="005B07AC">
            <w:pPr>
              <w:rPr>
                <w:rFonts w:eastAsia="Times New Roman" w:cs="Arial"/>
                <w:b/>
              </w:rPr>
            </w:pPr>
          </w:p>
        </w:tc>
      </w:tr>
      <w:tr w:rsidR="00D62238" w:rsidRPr="006216B7" w14:paraId="7F53CFCD" w14:textId="77777777" w:rsidTr="00516E4E">
        <w:trPr>
          <w:trHeight w:val="7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67C7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1435" w14:textId="77777777" w:rsidR="00D62238" w:rsidRPr="006216B7" w:rsidRDefault="00D62238" w:rsidP="00D6223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Report Essential Personnel contacts for Critical IT Resources staying on Campus during the emergency shutdown to the CEOT.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2A10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AED6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0782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2238" w:rsidRPr="006216B7" w14:paraId="67F0AFC1" w14:textId="77777777" w:rsidTr="00516E4E">
        <w:trPr>
          <w:trHeight w:val="7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9E9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4506" w14:textId="09F16AD7" w:rsidR="00D62238" w:rsidRPr="006216B7" w:rsidRDefault="002D2AF9" w:rsidP="002D2AF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Consider t</w:t>
            </w:r>
            <w:r w:rsidR="00D62238">
              <w:rPr>
                <w:rFonts w:eastAsia="Times New Roman" w:cs="Arial"/>
                <w:sz w:val="20"/>
                <w:szCs w:val="20"/>
              </w:rPr>
              <w:t>urn</w:t>
            </w:r>
            <w:r>
              <w:rPr>
                <w:rFonts w:eastAsia="Times New Roman" w:cs="Arial"/>
                <w:sz w:val="20"/>
                <w:szCs w:val="20"/>
              </w:rPr>
              <w:t>ing</w:t>
            </w:r>
            <w:r w:rsidR="00D62238">
              <w:rPr>
                <w:rFonts w:eastAsia="Times New Roman" w:cs="Arial"/>
                <w:sz w:val="20"/>
                <w:szCs w:val="20"/>
              </w:rPr>
              <w:t xml:space="preserve"> off and unplug</w:t>
            </w:r>
            <w:r>
              <w:rPr>
                <w:rFonts w:eastAsia="Times New Roman" w:cs="Arial"/>
                <w:sz w:val="20"/>
                <w:szCs w:val="20"/>
              </w:rPr>
              <w:t>ging</w:t>
            </w:r>
            <w:r w:rsidR="00D62238">
              <w:rPr>
                <w:rFonts w:eastAsia="Times New Roman" w:cs="Arial"/>
                <w:sz w:val="20"/>
                <w:szCs w:val="20"/>
              </w:rPr>
              <w:t xml:space="preserve"> (power </w:t>
            </w:r>
            <w:r>
              <w:rPr>
                <w:rFonts w:eastAsia="Times New Roman" w:cs="Arial"/>
                <w:sz w:val="20"/>
                <w:szCs w:val="20"/>
              </w:rPr>
              <w:t>&amp; networking)</w:t>
            </w:r>
            <w:r w:rsidR="00D62238">
              <w:rPr>
                <w:rFonts w:eastAsia="Times New Roman" w:cs="Arial"/>
                <w:sz w:val="20"/>
                <w:szCs w:val="20"/>
              </w:rPr>
              <w:t xml:space="preserve"> non-critical IT infrastructure</w:t>
            </w:r>
            <w:r>
              <w:rPr>
                <w:rFonts w:eastAsia="Times New Roman" w:cs="Arial"/>
                <w:sz w:val="20"/>
                <w:szCs w:val="20"/>
              </w:rPr>
              <w:t>. Notify users of a</w:t>
            </w:r>
            <w:r w:rsidR="00516E4E">
              <w:rPr>
                <w:rFonts w:eastAsia="Times New Roman" w:cs="Arial"/>
                <w:sz w:val="20"/>
                <w:szCs w:val="20"/>
              </w:rPr>
              <w:t>ny Information System shutdowns as a result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C7CE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EE65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7A40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2238" w:rsidRPr="006216B7" w14:paraId="48DB09AF" w14:textId="77777777" w:rsidTr="00516E4E">
        <w:trPr>
          <w:trHeight w:val="7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0122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460C" w14:textId="77777777" w:rsidR="00D62238" w:rsidRPr="006216B7" w:rsidRDefault="00D62238" w:rsidP="0017224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2C41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70AF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D6D3" w14:textId="77777777" w:rsidR="00D62238" w:rsidRPr="006216B7" w:rsidRDefault="00D62238" w:rsidP="005B07A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6A9AE7E" w14:textId="77777777" w:rsidR="00FF381C" w:rsidRPr="00FF381C" w:rsidRDefault="00FF381C" w:rsidP="00D82B18"/>
    <w:sectPr w:rsidR="00FF381C" w:rsidRPr="00FF381C" w:rsidSect="00FD03B1">
      <w:pgSz w:w="12240" w:h="15840"/>
      <w:pgMar w:top="720" w:right="720" w:bottom="720" w:left="720" w:header="720" w:footer="720" w:gutter="0"/>
      <w:pgBorders w:offsetFrom="page">
        <w:left w:val="thickThinMediumGap" w:sz="24" w:space="24" w:color="F7490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CE4"/>
    <w:multiLevelType w:val="hybridMultilevel"/>
    <w:tmpl w:val="285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7BE"/>
    <w:multiLevelType w:val="hybridMultilevel"/>
    <w:tmpl w:val="BE2C4B86"/>
    <w:lvl w:ilvl="0" w:tplc="AD2854A4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</w:rPr>
    </w:lvl>
    <w:lvl w:ilvl="1" w:tplc="7EC0F9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DFB"/>
    <w:multiLevelType w:val="hybridMultilevel"/>
    <w:tmpl w:val="93220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E77"/>
    <w:multiLevelType w:val="hybridMultilevel"/>
    <w:tmpl w:val="0F1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0250"/>
    <w:multiLevelType w:val="hybridMultilevel"/>
    <w:tmpl w:val="D41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46E7"/>
    <w:multiLevelType w:val="hybridMultilevel"/>
    <w:tmpl w:val="A83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088"/>
    <w:multiLevelType w:val="hybridMultilevel"/>
    <w:tmpl w:val="89CCD328"/>
    <w:lvl w:ilvl="0" w:tplc="7EC0F9F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D22DCC"/>
    <w:multiLevelType w:val="hybridMultilevel"/>
    <w:tmpl w:val="43C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17CB"/>
    <w:multiLevelType w:val="hybridMultilevel"/>
    <w:tmpl w:val="DE8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A"/>
    <w:rsid w:val="000035BC"/>
    <w:rsid w:val="000367E6"/>
    <w:rsid w:val="000837C8"/>
    <w:rsid w:val="00123E95"/>
    <w:rsid w:val="00172242"/>
    <w:rsid w:val="00190AAC"/>
    <w:rsid w:val="001D5AA8"/>
    <w:rsid w:val="002B6A20"/>
    <w:rsid w:val="002D2AF9"/>
    <w:rsid w:val="00311FEB"/>
    <w:rsid w:val="00331136"/>
    <w:rsid w:val="00406498"/>
    <w:rsid w:val="004502EA"/>
    <w:rsid w:val="004B121C"/>
    <w:rsid w:val="00516E4E"/>
    <w:rsid w:val="005A1188"/>
    <w:rsid w:val="005B07AC"/>
    <w:rsid w:val="005D0F05"/>
    <w:rsid w:val="00601F07"/>
    <w:rsid w:val="006E0B48"/>
    <w:rsid w:val="0070440C"/>
    <w:rsid w:val="00770DE1"/>
    <w:rsid w:val="007A74F9"/>
    <w:rsid w:val="008263C0"/>
    <w:rsid w:val="00841257"/>
    <w:rsid w:val="00851003"/>
    <w:rsid w:val="00871237"/>
    <w:rsid w:val="00873E05"/>
    <w:rsid w:val="008A047A"/>
    <w:rsid w:val="008B6C38"/>
    <w:rsid w:val="00931CE5"/>
    <w:rsid w:val="00941A7A"/>
    <w:rsid w:val="00953623"/>
    <w:rsid w:val="009C26FD"/>
    <w:rsid w:val="00B4108D"/>
    <w:rsid w:val="00C01CBD"/>
    <w:rsid w:val="00C47997"/>
    <w:rsid w:val="00C710E3"/>
    <w:rsid w:val="00D62238"/>
    <w:rsid w:val="00D626FD"/>
    <w:rsid w:val="00D82B18"/>
    <w:rsid w:val="00E86B5F"/>
    <w:rsid w:val="00E87DBB"/>
    <w:rsid w:val="00F422FE"/>
    <w:rsid w:val="00F42610"/>
    <w:rsid w:val="00FD03B1"/>
    <w:rsid w:val="00FF2F9C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91D8"/>
  <w15:chartTrackingRefBased/>
  <w15:docId w15:val="{587FD076-7F7C-42FC-BEDF-CBA261F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2EA"/>
    <w:pPr>
      <w:spacing w:line="276" w:lineRule="auto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EA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02EA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47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02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50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2EA"/>
    <w:pPr>
      <w:spacing w:before="60"/>
      <w:ind w:left="720"/>
      <w:contextualSpacing/>
      <w:jc w:val="both"/>
    </w:pPr>
    <w:rPr>
      <w:rFonts w:eastAsia="Times New Roman"/>
    </w:rPr>
  </w:style>
  <w:style w:type="character" w:styleId="Hyperlink">
    <w:name w:val="Hyperlink"/>
    <w:uiPriority w:val="99"/>
    <w:unhideWhenUsed/>
    <w:rsid w:val="004502EA"/>
    <w:rPr>
      <w:color w:val="0000FF"/>
      <w:u w:val="single"/>
    </w:rPr>
  </w:style>
  <w:style w:type="table" w:styleId="TableGrid">
    <w:name w:val="Table Grid"/>
    <w:basedOn w:val="TableNormal"/>
    <w:uiPriority w:val="39"/>
    <w:rsid w:val="0012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06498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8A047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8722C22A2A4481E985C9FF0C7658" ma:contentTypeVersion="126" ma:contentTypeDescription="Create a new document." ma:contentTypeScope="" ma:versionID="4659079f70c1d051b4926219a1e8b36f">
  <xsd:schema xmlns:xsd="http://www.w3.org/2001/XMLSchema" xmlns:xs="http://www.w3.org/2001/XMLSchema" xmlns:p="http://schemas.microsoft.com/office/2006/metadata/properties" xmlns:ns2="b61ba54a-7e61-4241-9dc6-f4f10394ac4a" xmlns:ns3="0414b9db-2217-455b-85ee-328186d67be5" targetNamespace="http://schemas.microsoft.com/office/2006/metadata/properties" ma:root="true" ma:fieldsID="b7523778dce7e804a867ff9f41e6fd59" ns2:_="" ns3:_="">
    <xsd:import namespace="b61ba54a-7e61-4241-9dc6-f4f10394ac4a"/>
    <xsd:import namespace="0414b9db-2217-455b-85ee-328186d67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a54a-7e61-4241-9dc6-f4f10394a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b9db-2217-455b-85ee-328186d6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608213076CD42BCF3060DF967E12A" ma:contentTypeVersion="0" ma:contentTypeDescription="Create a new document." ma:contentTypeScope="" ma:versionID="b0a22c9a12afd246823e29fabd7758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4A66-3904-4FAB-8696-C61B2976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a54a-7e61-4241-9dc6-f4f10394ac4a"/>
    <ds:schemaRef ds:uri="0414b9db-2217-455b-85ee-328186d67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022E0-1F50-4B87-9EE6-04A9C815E8D8}"/>
</file>

<file path=customXml/itemProps3.xml><?xml version="1.0" encoding="utf-8"?>
<ds:datastoreItem xmlns:ds="http://schemas.openxmlformats.org/officeDocument/2006/customXml" ds:itemID="{36218BEE-477C-4D56-9DC8-E31D43618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C29AD-2D76-44C4-A90E-D55FAF7079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647043-9FCE-4BF7-A4F8-F8E0F5117B26}">
  <ds:schemaRefs>
    <ds:schemaRef ds:uri="http://schemas.microsoft.com/office/2006/metadata/properties"/>
    <ds:schemaRef ds:uri="http://schemas.microsoft.com/office/infopath/2007/PartnerControls"/>
    <ds:schemaRef ds:uri="b61ba54a-7e61-4241-9dc6-f4f10394ac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Grieb,Hal R</dc:creator>
  <cp:keywords/>
  <dc:description/>
  <cp:lastModifiedBy>Shawn Lander</cp:lastModifiedBy>
  <cp:revision>6</cp:revision>
  <dcterms:created xsi:type="dcterms:W3CDTF">2018-08-07T00:34:00Z</dcterms:created>
  <dcterms:modified xsi:type="dcterms:W3CDTF">2018-08-07T00:39:00Z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0x0101002F3608213076CD42BCF3060DF967E12A</vt:lpwstr>
  </property>
  <property fmtid="{D5CDD505-2E9C-101B-9397-08002B2CF9AE}" pid="3" name="_dlc_DocIdItemGuid">
    <vt:lpwstr>c17d497a-4b06-4769-9d1e-d9f251927b84</vt:lpwstr>
  </property>
  <property fmtid="{D5CDD505-2E9C-101B-9397-08002B2CF9AE}" pid="4" name="Plan Type">
    <vt:lpwstr>Base Plan</vt:lpwstr>
  </property>
  <property fmtid="{D5CDD505-2E9C-101B-9397-08002B2CF9AE}" pid="5" name="_dlc_DocId">
    <vt:lpwstr>YHPNJRPC7K3U-1487607101-17</vt:lpwstr>
  </property>
  <property fmtid="{D5CDD505-2E9C-101B-9397-08002B2CF9AE}" pid="6" name="_dlc_DocIdUrl">
    <vt:lpwstr>https://uflorida.sharepoint.com/sites/eng/admin/research/_layouts/15/DocIdRedir.aspx?ID=YHPNJRPC7K3U-1487607101-17, YHPNJRPC7K3U-1487607101-17</vt:lpwstr>
  </property>
</Properties>
</file>